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F172" w14:textId="774E9B55" w:rsidR="00301124" w:rsidRDefault="00D23E02" w:rsidP="00754FD1">
      <w:pPr>
        <w:pStyle w:val="Title"/>
        <w:keepLines/>
        <w:widowControl/>
        <w:rPr>
          <w:rFonts w:asciiTheme="minorHAnsi" w:hAnsiTheme="minorHAnsi" w:cstheme="minorHAnsi"/>
          <w:sz w:val="18"/>
          <w:szCs w:val="18"/>
        </w:rPr>
      </w:pPr>
      <w:r w:rsidRPr="006251A7">
        <w:rPr>
          <w:rFonts w:asciiTheme="minorHAnsi" w:hAnsiTheme="minorHAnsi" w:cstheme="minorHAnsi"/>
          <w:sz w:val="18"/>
          <w:szCs w:val="18"/>
        </w:rPr>
        <w:t>Virginia Regulatory Assessment Template</w:t>
      </w:r>
    </w:p>
    <w:p w14:paraId="033AFAC5" w14:textId="3AC441FF" w:rsidR="00651802" w:rsidRPr="00F44EB5" w:rsidRDefault="00F44EB5" w:rsidP="00F44EB5">
      <w:pPr>
        <w:pStyle w:val="Title"/>
        <w:keepLines/>
        <w:widowControl/>
        <w:rPr>
          <w:rFonts w:asciiTheme="minorHAnsi" w:hAnsiTheme="minorHAnsi" w:cstheme="minorHAnsi"/>
          <w:b/>
          <w:bCs/>
          <w:sz w:val="24"/>
          <w:szCs w:val="24"/>
        </w:rPr>
      </w:pPr>
      <w:r w:rsidRPr="00F44EB5">
        <w:rPr>
          <w:rFonts w:asciiTheme="minorHAnsi" w:hAnsiTheme="minorHAnsi" w:cstheme="minorHAnsi"/>
          <w:b/>
          <w:bCs/>
          <w:sz w:val="18"/>
          <w:szCs w:val="18"/>
          <w:highlight w:val="yellow"/>
        </w:rPr>
        <w:t xml:space="preserve">Stakeholder participant: </w:t>
      </w:r>
      <w:r w:rsidR="00651802" w:rsidRPr="00F44EB5">
        <w:rPr>
          <w:rFonts w:asciiTheme="minorHAnsi" w:hAnsiTheme="minorHAnsi" w:cstheme="minorHAnsi"/>
          <w:b/>
          <w:bCs/>
          <w:sz w:val="18"/>
          <w:szCs w:val="18"/>
          <w:highlight w:val="yellow"/>
        </w:rPr>
        <w:t>Tyneshia Griffin</w:t>
      </w:r>
      <w:r w:rsidRPr="00F44EB5">
        <w:rPr>
          <w:rFonts w:asciiTheme="minorHAnsi" w:hAnsiTheme="minorHAnsi" w:cstheme="minorHAnsi"/>
          <w:b/>
          <w:bCs/>
          <w:sz w:val="18"/>
          <w:szCs w:val="18"/>
          <w:highlight w:val="yellow"/>
        </w:rPr>
        <w:t xml:space="preserve">, </w:t>
      </w:r>
      <w:r w:rsidR="00651802" w:rsidRPr="00F44EB5">
        <w:rPr>
          <w:rFonts w:asciiTheme="minorHAnsi" w:hAnsiTheme="minorHAnsi" w:cstheme="minorHAnsi"/>
          <w:b/>
          <w:bCs/>
          <w:sz w:val="18"/>
          <w:szCs w:val="18"/>
          <w:highlight w:val="yellow"/>
        </w:rPr>
        <w:t xml:space="preserve">Environmental Policy Analyst </w:t>
      </w:r>
      <w:r w:rsidRPr="00F44EB5">
        <w:rPr>
          <w:rFonts w:asciiTheme="minorHAnsi" w:hAnsiTheme="minorHAnsi" w:cstheme="minorHAnsi"/>
          <w:b/>
          <w:bCs/>
          <w:sz w:val="18"/>
          <w:szCs w:val="18"/>
          <w:highlight w:val="yellow"/>
        </w:rPr>
        <w:t xml:space="preserve">at </w:t>
      </w:r>
      <w:r w:rsidR="00651802" w:rsidRPr="00F44EB5">
        <w:rPr>
          <w:rFonts w:asciiTheme="minorHAnsi" w:hAnsiTheme="minorHAnsi" w:cstheme="minorHAnsi"/>
          <w:b/>
          <w:bCs/>
          <w:sz w:val="18"/>
          <w:szCs w:val="18"/>
          <w:highlight w:val="yellow"/>
        </w:rPr>
        <w:t>New Virginia Majority</w:t>
      </w:r>
    </w:p>
    <w:p w14:paraId="7C96CA64" w14:textId="110910BA" w:rsidR="00D13523" w:rsidRPr="006251A7" w:rsidRDefault="00D13523" w:rsidP="00754FD1">
      <w:pPr>
        <w:pStyle w:val="Title"/>
        <w:keepLines/>
        <w:widowControl/>
        <w:rPr>
          <w:rFonts w:asciiTheme="minorHAnsi" w:hAnsiTheme="minorHAnsi" w:cstheme="minorHAnsi"/>
          <w:color w:val="FF0000"/>
          <w:sz w:val="18"/>
          <w:szCs w:val="18"/>
        </w:rPr>
      </w:pPr>
      <w:r w:rsidRPr="006251A7">
        <w:rPr>
          <w:rFonts w:asciiTheme="minorHAnsi" w:hAnsiTheme="minorHAnsi" w:cstheme="minorHAnsi"/>
          <w:color w:val="FF0000"/>
          <w:sz w:val="18"/>
          <w:szCs w:val="18"/>
        </w:rPr>
        <w:t>[</w:t>
      </w:r>
      <w:r w:rsidR="004137AD" w:rsidRPr="006251A7">
        <w:rPr>
          <w:rFonts w:asciiTheme="minorHAnsi" w:hAnsiTheme="minorHAnsi" w:cstheme="minorHAnsi"/>
          <w:color w:val="FF0000"/>
          <w:sz w:val="18"/>
          <w:szCs w:val="18"/>
        </w:rPr>
        <w:t>This document will be reviewed during Stakeholder Meeting #4 and does not need to be completed before that</w:t>
      </w:r>
      <w:r w:rsidR="000868B8" w:rsidRPr="006251A7">
        <w:rPr>
          <w:rFonts w:asciiTheme="minorHAnsi" w:hAnsiTheme="minorHAnsi" w:cstheme="minorHAnsi"/>
          <w:color w:val="FF0000"/>
          <w:sz w:val="18"/>
          <w:szCs w:val="18"/>
        </w:rPr>
        <w:t>]</w:t>
      </w:r>
    </w:p>
    <w:p w14:paraId="1C462129" w14:textId="77777777" w:rsidR="000460F7" w:rsidRPr="006251A7" w:rsidRDefault="000460F7" w:rsidP="000460F7">
      <w:pPr>
        <w:pStyle w:val="Title"/>
        <w:keepLines/>
        <w:widowControl/>
        <w:jc w:val="left"/>
        <w:rPr>
          <w:rFonts w:asciiTheme="minorHAnsi" w:hAnsiTheme="minorHAnsi" w:cstheme="minorHAnsi"/>
          <w:sz w:val="18"/>
          <w:szCs w:val="18"/>
        </w:rPr>
      </w:pPr>
    </w:p>
    <w:p w14:paraId="54E67564" w14:textId="6A15A7D5" w:rsidR="000460F7" w:rsidRPr="006251A7" w:rsidRDefault="000460F7" w:rsidP="000D6A65">
      <w:pPr>
        <w:pStyle w:val="Title"/>
        <w:keepLines/>
        <w:widowControl/>
        <w:ind w:left="180"/>
        <w:jc w:val="left"/>
        <w:rPr>
          <w:rFonts w:asciiTheme="minorHAnsi" w:hAnsiTheme="minorHAnsi" w:cstheme="minorHAnsi"/>
          <w:sz w:val="18"/>
          <w:szCs w:val="18"/>
        </w:rPr>
      </w:pPr>
      <w:r w:rsidRPr="006251A7">
        <w:rPr>
          <w:rFonts w:asciiTheme="minorHAnsi" w:hAnsiTheme="minorHAnsi" w:cstheme="minorHAnsi"/>
          <w:b/>
          <w:bCs/>
          <w:sz w:val="18"/>
          <w:szCs w:val="18"/>
        </w:rPr>
        <w:t>Instructions:</w:t>
      </w:r>
      <w:r w:rsidRPr="006251A7">
        <w:rPr>
          <w:rFonts w:asciiTheme="minorHAnsi" w:hAnsiTheme="minorHAnsi" w:cstheme="minorHAnsi"/>
          <w:sz w:val="18"/>
          <w:szCs w:val="18"/>
        </w:rPr>
        <w:t xml:space="preserve"> Select one (1) “performance area” or outcome from the following set to evaluate how </w:t>
      </w:r>
      <w:r w:rsidRPr="006251A7">
        <w:rPr>
          <w:rFonts w:asciiTheme="minorHAnsi" w:hAnsiTheme="minorHAnsi" w:cstheme="minorHAnsi"/>
          <w:sz w:val="18"/>
          <w:szCs w:val="18"/>
          <w:u w:val="single"/>
        </w:rPr>
        <w:t>existing</w:t>
      </w:r>
      <w:r w:rsidRPr="006251A7">
        <w:rPr>
          <w:rFonts w:asciiTheme="minorHAnsi" w:hAnsiTheme="minorHAnsi" w:cstheme="minorHAnsi"/>
          <w:sz w:val="18"/>
          <w:szCs w:val="18"/>
        </w:rPr>
        <w:t xml:space="preserve"> regulatory mechanisms in Virginia support (incentivize) </w:t>
      </w:r>
      <w:r w:rsidR="00BF11FB" w:rsidRPr="006251A7">
        <w:rPr>
          <w:rFonts w:asciiTheme="minorHAnsi" w:hAnsiTheme="minorHAnsi" w:cstheme="minorHAnsi"/>
          <w:sz w:val="18"/>
          <w:szCs w:val="18"/>
        </w:rPr>
        <w:t xml:space="preserve">the </w:t>
      </w:r>
      <w:r w:rsidRPr="006251A7">
        <w:rPr>
          <w:rFonts w:asciiTheme="minorHAnsi" w:hAnsiTheme="minorHAnsi" w:cstheme="minorHAnsi"/>
          <w:sz w:val="18"/>
          <w:szCs w:val="18"/>
        </w:rPr>
        <w:t xml:space="preserve">achievement of that outcome or </w:t>
      </w:r>
      <w:r w:rsidR="00BF11FB" w:rsidRPr="006251A7">
        <w:rPr>
          <w:rFonts w:asciiTheme="minorHAnsi" w:hAnsiTheme="minorHAnsi" w:cstheme="minorHAnsi"/>
          <w:sz w:val="18"/>
          <w:szCs w:val="18"/>
        </w:rPr>
        <w:t>disincentivize</w:t>
      </w:r>
      <w:r w:rsidRPr="006251A7">
        <w:rPr>
          <w:rFonts w:asciiTheme="minorHAnsi" w:hAnsiTheme="minorHAnsi" w:cstheme="minorHAnsi"/>
          <w:sz w:val="18"/>
          <w:szCs w:val="18"/>
        </w:rPr>
        <w:t xml:space="preserve"> </w:t>
      </w:r>
      <w:r w:rsidR="00BF11FB" w:rsidRPr="006251A7">
        <w:rPr>
          <w:rFonts w:asciiTheme="minorHAnsi" w:hAnsiTheme="minorHAnsi" w:cstheme="minorHAnsi"/>
          <w:sz w:val="18"/>
          <w:szCs w:val="18"/>
        </w:rPr>
        <w:t xml:space="preserve">the </w:t>
      </w:r>
      <w:r w:rsidRPr="006251A7">
        <w:rPr>
          <w:rFonts w:asciiTheme="minorHAnsi" w:hAnsiTheme="minorHAnsi" w:cstheme="minorHAnsi"/>
          <w:sz w:val="18"/>
          <w:szCs w:val="18"/>
        </w:rPr>
        <w:t>achievement of the outcome. Consider this question for each regulatory mechanism identified in the template, and for the overall performance of Virginia’s utility regulatory structure to support (or hinder) that outcome (performance area).</w:t>
      </w:r>
    </w:p>
    <w:p w14:paraId="48AFCD76" w14:textId="36553BFE" w:rsidR="006819D3" w:rsidRPr="006251A7" w:rsidRDefault="000460F7" w:rsidP="000D6A65">
      <w:pPr>
        <w:pStyle w:val="Title"/>
        <w:keepLines/>
        <w:widowControl/>
        <w:spacing w:before="120"/>
        <w:ind w:left="180"/>
        <w:jc w:val="left"/>
        <w:rPr>
          <w:rFonts w:asciiTheme="minorHAnsi" w:hAnsiTheme="minorHAnsi" w:cstheme="minorHAnsi"/>
          <w:sz w:val="18"/>
          <w:szCs w:val="18"/>
        </w:rPr>
      </w:pPr>
      <w:r w:rsidRPr="006251A7">
        <w:rPr>
          <w:rFonts w:asciiTheme="minorHAnsi" w:hAnsiTheme="minorHAnsi" w:cstheme="minorHAnsi"/>
          <w:sz w:val="18"/>
          <w:szCs w:val="18"/>
        </w:rPr>
        <w:t>Each stakeholder should complete worksheet</w:t>
      </w:r>
      <w:r w:rsidR="00547D7E" w:rsidRPr="006251A7">
        <w:rPr>
          <w:rFonts w:asciiTheme="minorHAnsi" w:hAnsiTheme="minorHAnsi" w:cstheme="minorHAnsi"/>
          <w:sz w:val="18"/>
          <w:szCs w:val="18"/>
        </w:rPr>
        <w:t>s</w:t>
      </w:r>
      <w:r w:rsidRPr="006251A7">
        <w:rPr>
          <w:rFonts w:asciiTheme="minorHAnsi" w:hAnsiTheme="minorHAnsi" w:cstheme="minorHAnsi"/>
          <w:sz w:val="18"/>
          <w:szCs w:val="18"/>
        </w:rPr>
        <w:t xml:space="preserve"> for two performance areas of their choosing. Additional (more than two) performance areas can be evaluated in additional worksheets, at your discretion.</w:t>
      </w:r>
    </w:p>
    <w:p w14:paraId="7D6E01E6" w14:textId="77777777" w:rsidR="00231CD8" w:rsidRPr="006251A7" w:rsidRDefault="00231CD8" w:rsidP="000D6A65">
      <w:pPr>
        <w:pStyle w:val="Title"/>
        <w:keepLines/>
        <w:widowControl/>
        <w:spacing w:before="120"/>
        <w:ind w:left="180"/>
        <w:jc w:val="left"/>
        <w:rPr>
          <w:rFonts w:asciiTheme="minorHAnsi" w:hAnsiTheme="minorHAnsi" w:cstheme="minorHAnsi"/>
          <w:sz w:val="18"/>
          <w:szCs w:val="18"/>
        </w:rPr>
      </w:pPr>
    </w:p>
    <w:p w14:paraId="3DB96527" w14:textId="560A3C80" w:rsidR="00E70063" w:rsidRPr="006251A7" w:rsidRDefault="003D5C0B" w:rsidP="00E70063">
      <w:pPr>
        <w:pStyle w:val="Title"/>
        <w:keepLines/>
        <w:spacing w:before="120"/>
        <w:ind w:left="180"/>
        <w:jc w:val="left"/>
        <w:rPr>
          <w:rFonts w:asciiTheme="minorHAnsi" w:hAnsiTheme="minorHAnsi" w:cstheme="minorHAnsi"/>
          <w:sz w:val="18"/>
          <w:szCs w:val="18"/>
        </w:rPr>
      </w:pPr>
      <w:r w:rsidRPr="006251A7">
        <w:rPr>
          <w:rFonts w:asciiTheme="minorHAnsi" w:hAnsiTheme="minorHAnsi" w:cstheme="minorHAnsi"/>
          <w:b/>
          <w:bCs/>
          <w:sz w:val="18"/>
          <w:szCs w:val="18"/>
        </w:rPr>
        <w:t xml:space="preserve">Reference </w:t>
      </w:r>
      <w:r w:rsidR="00A64864" w:rsidRPr="006251A7">
        <w:rPr>
          <w:rFonts w:asciiTheme="minorHAnsi" w:hAnsiTheme="minorHAnsi" w:cstheme="minorHAnsi"/>
          <w:b/>
          <w:bCs/>
          <w:sz w:val="18"/>
          <w:szCs w:val="18"/>
        </w:rPr>
        <w:t>Key:</w:t>
      </w:r>
      <w:r w:rsidR="00A64864" w:rsidRPr="006251A7">
        <w:rPr>
          <w:rFonts w:asciiTheme="minorHAnsi" w:hAnsiTheme="minorHAnsi" w:cstheme="minorHAnsi"/>
          <w:sz w:val="18"/>
          <w:szCs w:val="18"/>
        </w:rPr>
        <w:t xml:space="preserve"> Performance Areas from </w:t>
      </w:r>
      <w:r w:rsidRPr="006251A7">
        <w:rPr>
          <w:rFonts w:asciiTheme="minorHAnsi" w:hAnsiTheme="minorHAnsi" w:cstheme="minorHAnsi"/>
          <w:sz w:val="18"/>
          <w:szCs w:val="18"/>
        </w:rPr>
        <w:t>House Joint Resolution No. 30 / Senate Joint Resolution No. 47</w:t>
      </w:r>
    </w:p>
    <w:tbl>
      <w:tblPr>
        <w:tblStyle w:val="TableGrid"/>
        <w:tblW w:w="0" w:type="auto"/>
        <w:tblInd w:w="198" w:type="dxa"/>
        <w:tblLook w:val="04A0" w:firstRow="1" w:lastRow="0" w:firstColumn="1" w:lastColumn="0" w:noHBand="0" w:noVBand="1"/>
      </w:tblPr>
      <w:tblGrid>
        <w:gridCol w:w="6331"/>
        <w:gridCol w:w="6629"/>
      </w:tblGrid>
      <w:tr w:rsidR="003E2469" w:rsidRPr="006251A7" w14:paraId="4A3B518E" w14:textId="77777777" w:rsidTr="00E70063">
        <w:tc>
          <w:tcPr>
            <w:tcW w:w="6331" w:type="dxa"/>
          </w:tcPr>
          <w:p w14:paraId="59E45CE4" w14:textId="62A3A2BF" w:rsidR="003E2469" w:rsidRPr="006251A7" w:rsidRDefault="00BA734C" w:rsidP="000460F7">
            <w:pPr>
              <w:pStyle w:val="Title"/>
              <w:keepLines/>
              <w:widowControl/>
              <w:spacing w:before="120"/>
              <w:ind w:left="0"/>
              <w:jc w:val="left"/>
              <w:rPr>
                <w:rFonts w:asciiTheme="minorHAnsi" w:hAnsiTheme="minorHAnsi" w:cstheme="minorHAnsi"/>
                <w:sz w:val="18"/>
                <w:szCs w:val="18"/>
              </w:rPr>
            </w:pPr>
            <w:r w:rsidRPr="006251A7">
              <w:rPr>
                <w:rFonts w:asciiTheme="minorHAnsi" w:hAnsiTheme="minorHAnsi" w:cstheme="minorHAnsi"/>
                <w:sz w:val="18"/>
                <w:szCs w:val="18"/>
              </w:rPr>
              <w:t>Reliability and resiliency</w:t>
            </w:r>
          </w:p>
        </w:tc>
        <w:tc>
          <w:tcPr>
            <w:tcW w:w="6629" w:type="dxa"/>
          </w:tcPr>
          <w:p w14:paraId="28CC8C9E" w14:textId="13B71A07" w:rsidR="003E2469" w:rsidRPr="006251A7" w:rsidRDefault="00171D14" w:rsidP="000460F7">
            <w:pPr>
              <w:pStyle w:val="Title"/>
              <w:keepLines/>
              <w:widowControl/>
              <w:spacing w:before="120"/>
              <w:ind w:left="0"/>
              <w:jc w:val="left"/>
              <w:rPr>
                <w:rFonts w:asciiTheme="minorHAnsi" w:hAnsiTheme="minorHAnsi" w:cstheme="minorHAnsi"/>
                <w:sz w:val="18"/>
                <w:szCs w:val="18"/>
              </w:rPr>
            </w:pPr>
            <w:r w:rsidRPr="006251A7">
              <w:rPr>
                <w:rFonts w:asciiTheme="minorHAnsi" w:hAnsiTheme="minorHAnsi" w:cstheme="minorHAnsi"/>
                <w:sz w:val="18"/>
                <w:szCs w:val="18"/>
              </w:rPr>
              <w:t>Affordability for customers</w:t>
            </w:r>
          </w:p>
        </w:tc>
      </w:tr>
      <w:tr w:rsidR="003E2469" w:rsidRPr="006251A7" w14:paraId="4BCAE3F0" w14:textId="77777777" w:rsidTr="00E70063">
        <w:tc>
          <w:tcPr>
            <w:tcW w:w="6331" w:type="dxa"/>
          </w:tcPr>
          <w:p w14:paraId="60B48B5A" w14:textId="3D3BDC9C" w:rsidR="003E2469" w:rsidRPr="006251A7" w:rsidRDefault="00BA734C" w:rsidP="000460F7">
            <w:pPr>
              <w:pStyle w:val="Title"/>
              <w:keepLines/>
              <w:widowControl/>
              <w:spacing w:before="120"/>
              <w:ind w:left="0"/>
              <w:jc w:val="left"/>
              <w:rPr>
                <w:rFonts w:asciiTheme="minorHAnsi" w:hAnsiTheme="minorHAnsi" w:cstheme="minorHAnsi"/>
                <w:sz w:val="18"/>
                <w:szCs w:val="18"/>
              </w:rPr>
            </w:pPr>
            <w:r w:rsidRPr="006251A7">
              <w:rPr>
                <w:rFonts w:asciiTheme="minorHAnsi" w:hAnsiTheme="minorHAnsi" w:cstheme="minorHAnsi"/>
                <w:sz w:val="18"/>
                <w:szCs w:val="18"/>
              </w:rPr>
              <w:t>Emergency response and safety</w:t>
            </w:r>
          </w:p>
        </w:tc>
        <w:tc>
          <w:tcPr>
            <w:tcW w:w="6629" w:type="dxa"/>
          </w:tcPr>
          <w:p w14:paraId="0952E293" w14:textId="0A828C69" w:rsidR="003E2469" w:rsidRPr="006251A7" w:rsidRDefault="00171D14" w:rsidP="000460F7">
            <w:pPr>
              <w:pStyle w:val="Title"/>
              <w:keepLines/>
              <w:widowControl/>
              <w:spacing w:before="120"/>
              <w:ind w:left="0"/>
              <w:jc w:val="left"/>
              <w:rPr>
                <w:rFonts w:asciiTheme="minorHAnsi" w:hAnsiTheme="minorHAnsi" w:cstheme="minorHAnsi"/>
                <w:sz w:val="18"/>
                <w:szCs w:val="18"/>
              </w:rPr>
            </w:pPr>
            <w:r w:rsidRPr="006251A7">
              <w:rPr>
                <w:rFonts w:asciiTheme="minorHAnsi" w:hAnsiTheme="minorHAnsi" w:cstheme="minorHAnsi"/>
                <w:sz w:val="18"/>
                <w:szCs w:val="18"/>
              </w:rPr>
              <w:t>Cost-efficient utility investments and operations</w:t>
            </w:r>
          </w:p>
        </w:tc>
      </w:tr>
      <w:tr w:rsidR="003E2469" w:rsidRPr="006251A7" w14:paraId="5FD124C0" w14:textId="77777777" w:rsidTr="00E70063">
        <w:tc>
          <w:tcPr>
            <w:tcW w:w="6331" w:type="dxa"/>
          </w:tcPr>
          <w:p w14:paraId="4197536A" w14:textId="22D002C0" w:rsidR="003E2469" w:rsidRPr="006251A7" w:rsidRDefault="009B706B" w:rsidP="000460F7">
            <w:pPr>
              <w:pStyle w:val="Title"/>
              <w:keepLines/>
              <w:widowControl/>
              <w:spacing w:before="120"/>
              <w:ind w:left="0"/>
              <w:jc w:val="left"/>
              <w:rPr>
                <w:rFonts w:asciiTheme="minorHAnsi" w:hAnsiTheme="minorHAnsi" w:cstheme="minorHAnsi"/>
                <w:sz w:val="18"/>
                <w:szCs w:val="18"/>
              </w:rPr>
            </w:pPr>
            <w:r w:rsidRPr="006251A7">
              <w:rPr>
                <w:rFonts w:asciiTheme="minorHAnsi" w:hAnsiTheme="minorHAnsi" w:cstheme="minorHAnsi"/>
                <w:sz w:val="18"/>
                <w:szCs w:val="18"/>
              </w:rPr>
              <w:t>Peak demand reductions</w:t>
            </w:r>
          </w:p>
        </w:tc>
        <w:tc>
          <w:tcPr>
            <w:tcW w:w="6629" w:type="dxa"/>
          </w:tcPr>
          <w:p w14:paraId="6567F28E" w14:textId="7D919B16" w:rsidR="003E2469" w:rsidRPr="006251A7" w:rsidRDefault="00171D14" w:rsidP="000460F7">
            <w:pPr>
              <w:pStyle w:val="Title"/>
              <w:keepLines/>
              <w:widowControl/>
              <w:spacing w:before="120"/>
              <w:ind w:left="0"/>
              <w:jc w:val="left"/>
              <w:rPr>
                <w:rFonts w:asciiTheme="minorHAnsi" w:hAnsiTheme="minorHAnsi" w:cstheme="minorHAnsi"/>
                <w:sz w:val="18"/>
                <w:szCs w:val="18"/>
              </w:rPr>
            </w:pPr>
            <w:r w:rsidRPr="006251A7">
              <w:rPr>
                <w:rFonts w:asciiTheme="minorHAnsi" w:hAnsiTheme="minorHAnsi" w:cstheme="minorHAnsi"/>
                <w:sz w:val="18"/>
                <w:szCs w:val="18"/>
              </w:rPr>
              <w:t>Maximization of available federal funding</w:t>
            </w:r>
          </w:p>
        </w:tc>
      </w:tr>
      <w:tr w:rsidR="003E2469" w:rsidRPr="006251A7" w14:paraId="67C88156" w14:textId="77777777" w:rsidTr="00E70063">
        <w:tc>
          <w:tcPr>
            <w:tcW w:w="6331" w:type="dxa"/>
          </w:tcPr>
          <w:p w14:paraId="757BBA8E" w14:textId="3EF42E64" w:rsidR="003E2469" w:rsidRPr="006251A7" w:rsidRDefault="009B706B" w:rsidP="000460F7">
            <w:pPr>
              <w:pStyle w:val="Title"/>
              <w:keepLines/>
              <w:widowControl/>
              <w:spacing w:before="120"/>
              <w:ind w:left="0"/>
              <w:jc w:val="left"/>
              <w:rPr>
                <w:rFonts w:asciiTheme="minorHAnsi" w:hAnsiTheme="minorHAnsi" w:cstheme="minorHAnsi"/>
                <w:sz w:val="18"/>
                <w:szCs w:val="18"/>
              </w:rPr>
            </w:pPr>
            <w:r w:rsidRPr="006251A7">
              <w:rPr>
                <w:rFonts w:asciiTheme="minorHAnsi" w:hAnsiTheme="minorHAnsi" w:cstheme="minorHAnsi"/>
                <w:sz w:val="18"/>
                <w:szCs w:val="18"/>
              </w:rPr>
              <w:t>Cyber and physical security of the grid</w:t>
            </w:r>
          </w:p>
        </w:tc>
        <w:tc>
          <w:tcPr>
            <w:tcW w:w="6629" w:type="dxa"/>
          </w:tcPr>
          <w:p w14:paraId="26B0CD80" w14:textId="56C27143" w:rsidR="003E2469" w:rsidRPr="006251A7" w:rsidRDefault="00171D14" w:rsidP="000460F7">
            <w:pPr>
              <w:pStyle w:val="Title"/>
              <w:keepLines/>
              <w:widowControl/>
              <w:spacing w:before="120"/>
              <w:ind w:left="0"/>
              <w:jc w:val="left"/>
              <w:rPr>
                <w:rFonts w:asciiTheme="minorHAnsi" w:hAnsiTheme="minorHAnsi" w:cstheme="minorHAnsi"/>
                <w:sz w:val="18"/>
                <w:szCs w:val="18"/>
                <w:highlight w:val="yellow"/>
              </w:rPr>
            </w:pPr>
            <w:r w:rsidRPr="006251A7">
              <w:rPr>
                <w:rFonts w:asciiTheme="minorHAnsi" w:hAnsiTheme="minorHAnsi" w:cstheme="minorHAnsi"/>
                <w:sz w:val="18"/>
                <w:szCs w:val="18"/>
                <w:highlight w:val="yellow"/>
              </w:rPr>
              <w:t>Savings maximization from energy efficiency and exceedance of statutorily required savings levels</w:t>
            </w:r>
          </w:p>
        </w:tc>
      </w:tr>
      <w:tr w:rsidR="003E2469" w:rsidRPr="006251A7" w14:paraId="30D8BA4D" w14:textId="77777777" w:rsidTr="00E70063">
        <w:tc>
          <w:tcPr>
            <w:tcW w:w="6331" w:type="dxa"/>
          </w:tcPr>
          <w:p w14:paraId="1216B848" w14:textId="3D3AEBF6" w:rsidR="003E2469" w:rsidRPr="006251A7" w:rsidRDefault="009B706B" w:rsidP="000460F7">
            <w:pPr>
              <w:pStyle w:val="Title"/>
              <w:keepLines/>
              <w:widowControl/>
              <w:spacing w:before="120"/>
              <w:ind w:left="0"/>
              <w:jc w:val="left"/>
              <w:rPr>
                <w:rFonts w:asciiTheme="minorHAnsi" w:hAnsiTheme="minorHAnsi" w:cstheme="minorHAnsi"/>
                <w:sz w:val="18"/>
                <w:szCs w:val="18"/>
              </w:rPr>
            </w:pPr>
            <w:r w:rsidRPr="006251A7">
              <w:rPr>
                <w:rFonts w:asciiTheme="minorHAnsi" w:hAnsiTheme="minorHAnsi" w:cstheme="minorHAnsi"/>
                <w:sz w:val="18"/>
                <w:szCs w:val="18"/>
              </w:rPr>
              <w:t>Annual and monthly generation and resource needs in addition to hourly generation and resource needs on the 10 hottest and coldest days of the year</w:t>
            </w:r>
          </w:p>
        </w:tc>
        <w:tc>
          <w:tcPr>
            <w:tcW w:w="6629" w:type="dxa"/>
          </w:tcPr>
          <w:p w14:paraId="0CA85530" w14:textId="586C15CE" w:rsidR="003E2469" w:rsidRPr="006251A7" w:rsidRDefault="00171D14" w:rsidP="000460F7">
            <w:pPr>
              <w:pStyle w:val="Title"/>
              <w:keepLines/>
              <w:widowControl/>
              <w:spacing w:before="120"/>
              <w:ind w:left="0"/>
              <w:jc w:val="left"/>
              <w:rPr>
                <w:rFonts w:asciiTheme="minorHAnsi" w:hAnsiTheme="minorHAnsi" w:cstheme="minorHAnsi"/>
                <w:sz w:val="18"/>
                <w:szCs w:val="18"/>
              </w:rPr>
            </w:pPr>
            <w:r w:rsidRPr="006251A7">
              <w:rPr>
                <w:rFonts w:asciiTheme="minorHAnsi" w:hAnsiTheme="minorHAnsi" w:cstheme="minorHAnsi"/>
                <w:sz w:val="18"/>
                <w:szCs w:val="18"/>
              </w:rPr>
              <w:t>DER integration and speed of interconnection</w:t>
            </w:r>
          </w:p>
        </w:tc>
      </w:tr>
      <w:tr w:rsidR="009B706B" w:rsidRPr="006251A7" w14:paraId="580CEDB2" w14:textId="77777777" w:rsidTr="00E70063">
        <w:tc>
          <w:tcPr>
            <w:tcW w:w="6331" w:type="dxa"/>
          </w:tcPr>
          <w:p w14:paraId="002D6301" w14:textId="0BC2C42B" w:rsidR="009B706B" w:rsidRPr="006251A7" w:rsidRDefault="00171D14" w:rsidP="000460F7">
            <w:pPr>
              <w:pStyle w:val="Title"/>
              <w:keepLines/>
              <w:widowControl/>
              <w:spacing w:before="120"/>
              <w:ind w:left="0"/>
              <w:jc w:val="left"/>
              <w:rPr>
                <w:rFonts w:asciiTheme="minorHAnsi" w:hAnsiTheme="minorHAnsi" w:cstheme="minorHAnsi"/>
                <w:sz w:val="18"/>
                <w:szCs w:val="18"/>
              </w:rPr>
            </w:pPr>
            <w:r w:rsidRPr="006251A7">
              <w:rPr>
                <w:rFonts w:asciiTheme="minorHAnsi" w:hAnsiTheme="minorHAnsi" w:cstheme="minorHAnsi"/>
                <w:sz w:val="18"/>
                <w:szCs w:val="18"/>
              </w:rPr>
              <w:t>Customer service</w:t>
            </w:r>
          </w:p>
        </w:tc>
        <w:tc>
          <w:tcPr>
            <w:tcW w:w="6629" w:type="dxa"/>
          </w:tcPr>
          <w:p w14:paraId="683BC54C" w14:textId="55E424D5" w:rsidR="009B706B" w:rsidRPr="006251A7" w:rsidRDefault="00171D14" w:rsidP="000460F7">
            <w:pPr>
              <w:pStyle w:val="Title"/>
              <w:keepLines/>
              <w:widowControl/>
              <w:spacing w:before="120"/>
              <w:ind w:left="0"/>
              <w:jc w:val="left"/>
              <w:rPr>
                <w:rFonts w:asciiTheme="minorHAnsi" w:hAnsiTheme="minorHAnsi" w:cstheme="minorHAnsi"/>
                <w:sz w:val="18"/>
                <w:szCs w:val="18"/>
              </w:rPr>
            </w:pPr>
            <w:r w:rsidRPr="006251A7">
              <w:rPr>
                <w:rFonts w:asciiTheme="minorHAnsi" w:hAnsiTheme="minorHAnsi" w:cstheme="minorHAnsi"/>
                <w:sz w:val="18"/>
                <w:szCs w:val="18"/>
              </w:rPr>
              <w:t>Beneficial electrification</w:t>
            </w:r>
          </w:p>
        </w:tc>
      </w:tr>
      <w:tr w:rsidR="003E2469" w:rsidRPr="006251A7" w14:paraId="3DB159BE" w14:textId="77777777" w:rsidTr="00E70063">
        <w:tc>
          <w:tcPr>
            <w:tcW w:w="6331" w:type="dxa"/>
          </w:tcPr>
          <w:p w14:paraId="056FE7BB" w14:textId="5BEA5567" w:rsidR="003E2469" w:rsidRPr="006251A7" w:rsidRDefault="00171D14" w:rsidP="000460F7">
            <w:pPr>
              <w:pStyle w:val="Title"/>
              <w:keepLines/>
              <w:widowControl/>
              <w:spacing w:before="120"/>
              <w:ind w:left="0"/>
              <w:jc w:val="left"/>
              <w:rPr>
                <w:rFonts w:asciiTheme="minorHAnsi" w:hAnsiTheme="minorHAnsi" w:cstheme="minorHAnsi"/>
                <w:sz w:val="18"/>
                <w:szCs w:val="18"/>
              </w:rPr>
            </w:pPr>
            <w:r w:rsidRPr="006251A7">
              <w:rPr>
                <w:rFonts w:asciiTheme="minorHAnsi" w:hAnsiTheme="minorHAnsi" w:cstheme="minorHAnsi"/>
                <w:sz w:val="18"/>
                <w:szCs w:val="18"/>
              </w:rPr>
              <w:t>Environmental justice and equity</w:t>
            </w:r>
          </w:p>
        </w:tc>
        <w:tc>
          <w:tcPr>
            <w:tcW w:w="6629" w:type="dxa"/>
          </w:tcPr>
          <w:p w14:paraId="3119968D" w14:textId="6FECC9D7" w:rsidR="003E2469" w:rsidRPr="006251A7" w:rsidRDefault="00171D14" w:rsidP="000460F7">
            <w:pPr>
              <w:pStyle w:val="Title"/>
              <w:keepLines/>
              <w:widowControl/>
              <w:spacing w:before="120"/>
              <w:ind w:left="0"/>
              <w:jc w:val="left"/>
              <w:rPr>
                <w:rFonts w:asciiTheme="minorHAnsi" w:hAnsiTheme="minorHAnsi" w:cstheme="minorHAnsi"/>
                <w:sz w:val="18"/>
                <w:szCs w:val="18"/>
              </w:rPr>
            </w:pPr>
            <w:r w:rsidRPr="006251A7">
              <w:rPr>
                <w:rFonts w:asciiTheme="minorHAnsi" w:hAnsiTheme="minorHAnsi" w:cstheme="minorHAnsi"/>
                <w:sz w:val="18"/>
                <w:szCs w:val="18"/>
              </w:rPr>
              <w:t>Electricity decarbonization</w:t>
            </w:r>
          </w:p>
        </w:tc>
      </w:tr>
    </w:tbl>
    <w:p w14:paraId="78562669" w14:textId="30013831" w:rsidR="00231CD8" w:rsidRPr="006251A7" w:rsidRDefault="00231CD8" w:rsidP="000460F7">
      <w:pPr>
        <w:pStyle w:val="Title"/>
        <w:keepLines/>
        <w:widowControl/>
        <w:spacing w:before="120"/>
        <w:ind w:left="720"/>
        <w:jc w:val="left"/>
        <w:rPr>
          <w:rFonts w:asciiTheme="minorHAnsi" w:hAnsiTheme="minorHAnsi" w:cstheme="minorHAnsi"/>
          <w:sz w:val="18"/>
          <w:szCs w:val="18"/>
        </w:rPr>
      </w:pPr>
    </w:p>
    <w:p w14:paraId="2B810E4E" w14:textId="51B45664" w:rsidR="000460F7" w:rsidRPr="006251A7" w:rsidRDefault="00E70063" w:rsidP="00E70063">
      <w:pPr>
        <w:pStyle w:val="Title"/>
        <w:keepLines/>
        <w:spacing w:before="120"/>
        <w:ind w:left="180"/>
        <w:jc w:val="left"/>
        <w:rPr>
          <w:rFonts w:asciiTheme="minorHAnsi" w:hAnsiTheme="minorHAnsi" w:cstheme="minorHAnsi"/>
          <w:sz w:val="18"/>
          <w:szCs w:val="18"/>
        </w:rPr>
      </w:pPr>
      <w:r w:rsidRPr="006251A7">
        <w:rPr>
          <w:rFonts w:asciiTheme="minorHAnsi" w:hAnsiTheme="minorHAnsi" w:cstheme="minorHAnsi"/>
          <w:b/>
          <w:bCs/>
          <w:sz w:val="18"/>
          <w:szCs w:val="18"/>
        </w:rPr>
        <w:t>Regulatory Assessment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2217"/>
        <w:gridCol w:w="33"/>
        <w:gridCol w:w="938"/>
        <w:gridCol w:w="3296"/>
        <w:gridCol w:w="4534"/>
      </w:tblGrid>
      <w:tr w:rsidR="006819D3" w:rsidRPr="006251A7" w14:paraId="00171B1A" w14:textId="77777777" w:rsidTr="2539CAE0">
        <w:trPr>
          <w:trHeight w:val="563"/>
        </w:trPr>
        <w:tc>
          <w:tcPr>
            <w:tcW w:w="1945" w:type="dxa"/>
            <w:shd w:val="clear" w:color="auto" w:fill="3B7E32"/>
            <w:vAlign w:val="center"/>
          </w:tcPr>
          <w:p w14:paraId="0672B022" w14:textId="60CBF772" w:rsidR="006819D3" w:rsidRPr="006251A7" w:rsidRDefault="006819D3" w:rsidP="006A3122">
            <w:pPr>
              <w:pStyle w:val="TableParagraph"/>
              <w:keepLines/>
              <w:widowControl/>
              <w:spacing w:line="232" w:lineRule="auto"/>
              <w:ind w:left="110" w:right="203"/>
              <w:jc w:val="center"/>
              <w:rPr>
                <w:rFonts w:asciiTheme="minorHAnsi" w:hAnsiTheme="minorHAnsi" w:cstheme="minorHAnsi"/>
                <w:b/>
                <w:sz w:val="18"/>
                <w:szCs w:val="18"/>
              </w:rPr>
            </w:pPr>
            <w:r w:rsidRPr="006251A7">
              <w:rPr>
                <w:rFonts w:asciiTheme="minorHAnsi" w:hAnsiTheme="minorHAnsi" w:cstheme="minorHAnsi"/>
                <w:b/>
                <w:color w:val="FFFFFF"/>
                <w:spacing w:val="-2"/>
                <w:sz w:val="18"/>
                <w:szCs w:val="18"/>
              </w:rPr>
              <w:t>Outcome</w:t>
            </w:r>
          </w:p>
        </w:tc>
        <w:tc>
          <w:tcPr>
            <w:tcW w:w="2250" w:type="dxa"/>
            <w:gridSpan w:val="2"/>
            <w:shd w:val="clear" w:color="auto" w:fill="auto"/>
          </w:tcPr>
          <w:p w14:paraId="78DBB2FC" w14:textId="1113E4C0" w:rsidR="006819D3" w:rsidRPr="006251A7" w:rsidRDefault="005947D3" w:rsidP="00754FD1">
            <w:pPr>
              <w:pStyle w:val="TableParagraph"/>
              <w:keepLines/>
              <w:widowControl/>
              <w:spacing w:line="223" w:lineRule="exact"/>
              <w:ind w:left="110"/>
              <w:rPr>
                <w:rFonts w:asciiTheme="minorHAnsi" w:hAnsiTheme="minorHAnsi" w:cstheme="minorHAnsi"/>
                <w:bCs/>
                <w:sz w:val="18"/>
                <w:szCs w:val="18"/>
              </w:rPr>
            </w:pPr>
            <w:r w:rsidRPr="006251A7">
              <w:rPr>
                <w:rFonts w:asciiTheme="minorHAnsi" w:hAnsiTheme="minorHAnsi" w:cstheme="minorHAnsi"/>
                <w:bCs/>
                <w:sz w:val="18"/>
                <w:szCs w:val="18"/>
              </w:rPr>
              <w:t xml:space="preserve">What regulatory </w:t>
            </w:r>
            <w:r w:rsidR="001D7C93" w:rsidRPr="006251A7">
              <w:rPr>
                <w:rFonts w:asciiTheme="minorHAnsi" w:hAnsiTheme="minorHAnsi" w:cstheme="minorHAnsi"/>
                <w:bCs/>
                <w:sz w:val="18"/>
                <w:szCs w:val="18"/>
              </w:rPr>
              <w:t>outcome</w:t>
            </w:r>
            <w:r w:rsidR="0079634D" w:rsidRPr="006251A7">
              <w:rPr>
                <w:rFonts w:asciiTheme="minorHAnsi" w:hAnsiTheme="minorHAnsi" w:cstheme="minorHAnsi"/>
                <w:bCs/>
                <w:sz w:val="18"/>
                <w:szCs w:val="18"/>
              </w:rPr>
              <w:t xml:space="preserve"> or performance area</w:t>
            </w:r>
            <w:r w:rsidR="001D7C93" w:rsidRPr="006251A7">
              <w:rPr>
                <w:rFonts w:asciiTheme="minorHAnsi" w:hAnsiTheme="minorHAnsi" w:cstheme="minorHAnsi"/>
                <w:bCs/>
                <w:sz w:val="18"/>
                <w:szCs w:val="18"/>
              </w:rPr>
              <w:t xml:space="preserve"> does this assessment consider?</w:t>
            </w:r>
          </w:p>
        </w:tc>
        <w:tc>
          <w:tcPr>
            <w:tcW w:w="8768" w:type="dxa"/>
            <w:gridSpan w:val="3"/>
            <w:shd w:val="clear" w:color="auto" w:fill="auto"/>
          </w:tcPr>
          <w:p w14:paraId="4CCD6E8E" w14:textId="227058BC" w:rsidR="006819D3" w:rsidRPr="006251A7" w:rsidRDefault="00342AE9" w:rsidP="00754FD1">
            <w:pPr>
              <w:pStyle w:val="TableParagraph"/>
              <w:keepLines/>
              <w:widowControl/>
              <w:spacing w:line="223" w:lineRule="exact"/>
              <w:ind w:left="110"/>
              <w:rPr>
                <w:rFonts w:asciiTheme="minorHAnsi" w:hAnsiTheme="minorHAnsi" w:cstheme="minorHAnsi"/>
                <w:b/>
                <w:sz w:val="18"/>
                <w:szCs w:val="18"/>
              </w:rPr>
            </w:pPr>
            <w:r w:rsidRPr="006251A7">
              <w:rPr>
                <w:rFonts w:asciiTheme="minorHAnsi" w:hAnsiTheme="minorHAnsi" w:cstheme="minorHAnsi"/>
                <w:b/>
                <w:sz w:val="18"/>
                <w:szCs w:val="18"/>
              </w:rPr>
              <w:t>Savings maximization from energy efficiency and exceedance of statutorily required savings levels</w:t>
            </w:r>
          </w:p>
        </w:tc>
      </w:tr>
      <w:tr w:rsidR="00301124" w:rsidRPr="006251A7" w14:paraId="24ADA6B9" w14:textId="77777777" w:rsidTr="2539CAE0">
        <w:tc>
          <w:tcPr>
            <w:tcW w:w="12963" w:type="dxa"/>
            <w:gridSpan w:val="6"/>
            <w:shd w:val="clear" w:color="auto" w:fill="3B7E32"/>
          </w:tcPr>
          <w:p w14:paraId="3958F4A1" w14:textId="77777777" w:rsidR="00301124" w:rsidRPr="006251A7" w:rsidRDefault="00D674FC" w:rsidP="00754FD1">
            <w:pPr>
              <w:pStyle w:val="TableParagraph"/>
              <w:keepLines/>
              <w:widowControl/>
              <w:spacing w:line="223" w:lineRule="exact"/>
              <w:ind w:left="110"/>
              <w:rPr>
                <w:rFonts w:asciiTheme="minorHAnsi" w:hAnsiTheme="minorHAnsi" w:cstheme="minorHAnsi"/>
                <w:b/>
                <w:sz w:val="18"/>
                <w:szCs w:val="18"/>
              </w:rPr>
            </w:pPr>
            <w:r w:rsidRPr="006251A7">
              <w:rPr>
                <w:rFonts w:asciiTheme="minorHAnsi" w:hAnsiTheme="minorHAnsi" w:cstheme="minorHAnsi"/>
                <w:b/>
                <w:color w:val="FFFFFF"/>
                <w:sz w:val="18"/>
                <w:szCs w:val="18"/>
              </w:rPr>
              <w:t>Do</w:t>
            </w:r>
            <w:r w:rsidRPr="006251A7">
              <w:rPr>
                <w:rFonts w:asciiTheme="minorHAnsi" w:hAnsiTheme="minorHAnsi" w:cstheme="minorHAnsi"/>
                <w:b/>
                <w:color w:val="FFFFFF"/>
                <w:spacing w:val="-9"/>
                <w:sz w:val="18"/>
                <w:szCs w:val="18"/>
              </w:rPr>
              <w:t xml:space="preserve"> </w:t>
            </w:r>
            <w:r w:rsidRPr="006251A7">
              <w:rPr>
                <w:rFonts w:asciiTheme="minorHAnsi" w:hAnsiTheme="minorHAnsi" w:cstheme="minorHAnsi"/>
                <w:b/>
                <w:color w:val="FFFFFF"/>
                <w:sz w:val="18"/>
                <w:szCs w:val="18"/>
              </w:rPr>
              <w:t>the</w:t>
            </w:r>
            <w:r w:rsidRPr="006251A7">
              <w:rPr>
                <w:rFonts w:asciiTheme="minorHAnsi" w:hAnsiTheme="minorHAnsi" w:cstheme="minorHAnsi"/>
                <w:b/>
                <w:color w:val="FFFFFF"/>
                <w:spacing w:val="-3"/>
                <w:sz w:val="18"/>
                <w:szCs w:val="18"/>
              </w:rPr>
              <w:t xml:space="preserve"> </w:t>
            </w:r>
            <w:r w:rsidRPr="006251A7">
              <w:rPr>
                <w:rFonts w:asciiTheme="minorHAnsi" w:hAnsiTheme="minorHAnsi" w:cstheme="minorHAnsi"/>
                <w:b/>
                <w:color w:val="FFFFFF"/>
                <w:sz w:val="18"/>
                <w:szCs w:val="18"/>
              </w:rPr>
              <w:t>existing</w:t>
            </w:r>
            <w:r w:rsidRPr="006251A7">
              <w:rPr>
                <w:rFonts w:asciiTheme="minorHAnsi" w:hAnsiTheme="minorHAnsi" w:cstheme="minorHAnsi"/>
                <w:b/>
                <w:color w:val="FFFFFF"/>
                <w:spacing w:val="-8"/>
                <w:sz w:val="18"/>
                <w:szCs w:val="18"/>
              </w:rPr>
              <w:t xml:space="preserve"> </w:t>
            </w:r>
            <w:r w:rsidRPr="006251A7">
              <w:rPr>
                <w:rFonts w:asciiTheme="minorHAnsi" w:hAnsiTheme="minorHAnsi" w:cstheme="minorHAnsi"/>
                <w:b/>
                <w:color w:val="FFFFFF"/>
                <w:sz w:val="18"/>
                <w:szCs w:val="18"/>
              </w:rPr>
              <w:t>regulatory</w:t>
            </w:r>
            <w:r w:rsidRPr="006251A7">
              <w:rPr>
                <w:rFonts w:asciiTheme="minorHAnsi" w:hAnsiTheme="minorHAnsi" w:cstheme="minorHAnsi"/>
                <w:b/>
                <w:color w:val="FFFFFF"/>
                <w:spacing w:val="-7"/>
                <w:sz w:val="18"/>
                <w:szCs w:val="18"/>
              </w:rPr>
              <w:t xml:space="preserve"> </w:t>
            </w:r>
            <w:r w:rsidRPr="006251A7">
              <w:rPr>
                <w:rFonts w:asciiTheme="minorHAnsi" w:hAnsiTheme="minorHAnsi" w:cstheme="minorHAnsi"/>
                <w:b/>
                <w:color w:val="FFFFFF"/>
                <w:sz w:val="18"/>
                <w:szCs w:val="18"/>
              </w:rPr>
              <w:t>mechanisms</w:t>
            </w:r>
            <w:r w:rsidRPr="006251A7">
              <w:rPr>
                <w:rFonts w:asciiTheme="minorHAnsi" w:hAnsiTheme="minorHAnsi" w:cstheme="minorHAnsi"/>
                <w:b/>
                <w:color w:val="FFFFFF"/>
                <w:spacing w:val="-8"/>
                <w:sz w:val="18"/>
                <w:szCs w:val="18"/>
              </w:rPr>
              <w:t xml:space="preserve"> </w:t>
            </w:r>
            <w:r w:rsidRPr="006251A7">
              <w:rPr>
                <w:rFonts w:asciiTheme="minorHAnsi" w:hAnsiTheme="minorHAnsi" w:cstheme="minorHAnsi"/>
                <w:b/>
                <w:color w:val="FFFFFF"/>
                <w:sz w:val="18"/>
                <w:szCs w:val="18"/>
              </w:rPr>
              <w:t>and</w:t>
            </w:r>
            <w:r w:rsidRPr="006251A7">
              <w:rPr>
                <w:rFonts w:asciiTheme="minorHAnsi" w:hAnsiTheme="minorHAnsi" w:cstheme="minorHAnsi"/>
                <w:b/>
                <w:color w:val="FFFFFF"/>
                <w:spacing w:val="-3"/>
                <w:sz w:val="18"/>
                <w:szCs w:val="18"/>
              </w:rPr>
              <w:t xml:space="preserve"> </w:t>
            </w:r>
            <w:r w:rsidRPr="006251A7">
              <w:rPr>
                <w:rFonts w:asciiTheme="minorHAnsi" w:hAnsiTheme="minorHAnsi" w:cstheme="minorHAnsi"/>
                <w:b/>
                <w:color w:val="FFFFFF"/>
                <w:sz w:val="18"/>
                <w:szCs w:val="18"/>
              </w:rPr>
              <w:t>program</w:t>
            </w:r>
            <w:r w:rsidRPr="006251A7">
              <w:rPr>
                <w:rFonts w:asciiTheme="minorHAnsi" w:hAnsiTheme="minorHAnsi" w:cstheme="minorHAnsi"/>
                <w:b/>
                <w:color w:val="FFFFFF"/>
                <w:spacing w:val="-1"/>
                <w:sz w:val="18"/>
                <w:szCs w:val="18"/>
              </w:rPr>
              <w:t xml:space="preserve"> </w:t>
            </w:r>
            <w:r w:rsidRPr="006251A7">
              <w:rPr>
                <w:rFonts w:asciiTheme="minorHAnsi" w:hAnsiTheme="minorHAnsi" w:cstheme="minorHAnsi"/>
                <w:b/>
                <w:color w:val="FFFFFF"/>
                <w:sz w:val="18"/>
                <w:szCs w:val="18"/>
              </w:rPr>
              <w:t>sufficiently</w:t>
            </w:r>
            <w:r w:rsidRPr="006251A7">
              <w:rPr>
                <w:rFonts w:asciiTheme="minorHAnsi" w:hAnsiTheme="minorHAnsi" w:cstheme="minorHAnsi"/>
                <w:b/>
                <w:color w:val="FFFFFF"/>
                <w:spacing w:val="-3"/>
                <w:sz w:val="18"/>
                <w:szCs w:val="18"/>
              </w:rPr>
              <w:t xml:space="preserve"> </w:t>
            </w:r>
            <w:r w:rsidRPr="006251A7">
              <w:rPr>
                <w:rFonts w:asciiTheme="minorHAnsi" w:hAnsiTheme="minorHAnsi" w:cstheme="minorHAnsi"/>
                <w:b/>
                <w:color w:val="FFFFFF"/>
                <w:sz w:val="18"/>
                <w:szCs w:val="18"/>
              </w:rPr>
              <w:t>support</w:t>
            </w:r>
            <w:r w:rsidRPr="006251A7">
              <w:rPr>
                <w:rFonts w:asciiTheme="minorHAnsi" w:hAnsiTheme="minorHAnsi" w:cstheme="minorHAnsi"/>
                <w:b/>
                <w:color w:val="FFFFFF"/>
                <w:spacing w:val="-4"/>
                <w:sz w:val="18"/>
                <w:szCs w:val="18"/>
              </w:rPr>
              <w:t xml:space="preserve"> </w:t>
            </w:r>
            <w:r w:rsidRPr="006251A7">
              <w:rPr>
                <w:rFonts w:asciiTheme="minorHAnsi" w:hAnsiTheme="minorHAnsi" w:cstheme="minorHAnsi"/>
                <w:b/>
                <w:color w:val="FFFFFF"/>
                <w:sz w:val="18"/>
                <w:szCs w:val="18"/>
              </w:rPr>
              <w:t>the</w:t>
            </w:r>
            <w:r w:rsidRPr="006251A7">
              <w:rPr>
                <w:rFonts w:asciiTheme="minorHAnsi" w:hAnsiTheme="minorHAnsi" w:cstheme="minorHAnsi"/>
                <w:b/>
                <w:color w:val="FFFFFF"/>
                <w:spacing w:val="-3"/>
                <w:sz w:val="18"/>
                <w:szCs w:val="18"/>
              </w:rPr>
              <w:t xml:space="preserve"> </w:t>
            </w:r>
            <w:r w:rsidRPr="006251A7">
              <w:rPr>
                <w:rFonts w:asciiTheme="minorHAnsi" w:hAnsiTheme="minorHAnsi" w:cstheme="minorHAnsi"/>
                <w:b/>
                <w:color w:val="FFFFFF"/>
                <w:spacing w:val="-2"/>
                <w:sz w:val="18"/>
                <w:szCs w:val="18"/>
              </w:rPr>
              <w:t>outcome?</w:t>
            </w:r>
          </w:p>
        </w:tc>
      </w:tr>
      <w:tr w:rsidR="00301124" w:rsidRPr="006251A7" w14:paraId="11E209F4" w14:textId="77777777" w:rsidTr="2539CAE0">
        <w:tc>
          <w:tcPr>
            <w:tcW w:w="1945" w:type="dxa"/>
          </w:tcPr>
          <w:p w14:paraId="34E1BFB4" w14:textId="77777777" w:rsidR="00301124" w:rsidRPr="006251A7" w:rsidRDefault="00D674FC" w:rsidP="00754FD1">
            <w:pPr>
              <w:pStyle w:val="TableParagraph"/>
              <w:keepLines/>
              <w:widowControl/>
              <w:spacing w:line="222" w:lineRule="exact"/>
              <w:ind w:left="16" w:right="2"/>
              <w:jc w:val="center"/>
              <w:rPr>
                <w:rFonts w:asciiTheme="minorHAnsi" w:hAnsiTheme="minorHAnsi" w:cstheme="minorHAnsi"/>
                <w:b/>
                <w:sz w:val="18"/>
                <w:szCs w:val="18"/>
              </w:rPr>
            </w:pPr>
            <w:r w:rsidRPr="006251A7">
              <w:rPr>
                <w:rFonts w:asciiTheme="minorHAnsi" w:hAnsiTheme="minorHAnsi" w:cstheme="minorHAnsi"/>
                <w:b/>
                <w:spacing w:val="-5"/>
                <w:sz w:val="18"/>
                <w:szCs w:val="18"/>
              </w:rPr>
              <w:t>Key</w:t>
            </w:r>
          </w:p>
        </w:tc>
        <w:tc>
          <w:tcPr>
            <w:tcW w:w="11018" w:type="dxa"/>
            <w:gridSpan w:val="5"/>
          </w:tcPr>
          <w:p w14:paraId="53843495" w14:textId="77777777" w:rsidR="00301124" w:rsidRPr="006251A7" w:rsidRDefault="00301124" w:rsidP="00754FD1">
            <w:pPr>
              <w:pStyle w:val="TableParagraph"/>
              <w:keepLines/>
              <w:widowControl/>
              <w:rPr>
                <w:rFonts w:asciiTheme="minorHAnsi" w:hAnsiTheme="minorHAnsi" w:cstheme="minorHAnsi"/>
                <w:sz w:val="18"/>
                <w:szCs w:val="18"/>
              </w:rPr>
            </w:pPr>
          </w:p>
        </w:tc>
      </w:tr>
      <w:tr w:rsidR="00301124" w:rsidRPr="006251A7" w14:paraId="64E5BDC2" w14:textId="77777777" w:rsidTr="2539CAE0">
        <w:tc>
          <w:tcPr>
            <w:tcW w:w="1945" w:type="dxa"/>
          </w:tcPr>
          <w:p w14:paraId="27A4969B" w14:textId="77777777" w:rsidR="00301124" w:rsidRPr="006251A7" w:rsidRDefault="00D674FC" w:rsidP="00754FD1">
            <w:pPr>
              <w:pStyle w:val="TableParagraph"/>
              <w:keepLines/>
              <w:widowControl/>
              <w:spacing w:line="222" w:lineRule="exact"/>
              <w:ind w:left="16"/>
              <w:jc w:val="center"/>
              <w:rPr>
                <w:rFonts w:asciiTheme="minorHAnsi" w:hAnsiTheme="minorHAnsi" w:cstheme="minorHAnsi"/>
                <w:b/>
                <w:sz w:val="18"/>
                <w:szCs w:val="18"/>
              </w:rPr>
            </w:pPr>
            <w:r w:rsidRPr="006251A7">
              <w:rPr>
                <w:rFonts w:asciiTheme="minorHAnsi" w:hAnsiTheme="minorHAnsi" w:cstheme="minorHAnsi"/>
                <w:b/>
                <w:spacing w:val="-10"/>
                <w:sz w:val="18"/>
                <w:szCs w:val="18"/>
              </w:rPr>
              <w:t>+</w:t>
            </w:r>
          </w:p>
        </w:tc>
        <w:tc>
          <w:tcPr>
            <w:tcW w:w="2217" w:type="dxa"/>
          </w:tcPr>
          <w:p w14:paraId="70327E4A" w14:textId="77777777" w:rsidR="00301124" w:rsidRPr="006251A7" w:rsidRDefault="00D674FC" w:rsidP="00754FD1">
            <w:pPr>
              <w:pStyle w:val="TableParagraph"/>
              <w:keepLines/>
              <w:widowControl/>
              <w:spacing w:line="222" w:lineRule="exact"/>
              <w:ind w:left="3" w:right="3"/>
              <w:jc w:val="center"/>
              <w:rPr>
                <w:rFonts w:asciiTheme="minorHAnsi" w:hAnsiTheme="minorHAnsi" w:cstheme="minorHAnsi"/>
                <w:b/>
                <w:sz w:val="18"/>
                <w:szCs w:val="18"/>
              </w:rPr>
            </w:pPr>
            <w:r w:rsidRPr="006251A7">
              <w:rPr>
                <w:rFonts w:asciiTheme="minorHAnsi" w:hAnsiTheme="minorHAnsi" w:cstheme="minorHAnsi"/>
                <w:b/>
                <w:spacing w:val="-5"/>
                <w:sz w:val="18"/>
                <w:szCs w:val="18"/>
              </w:rPr>
              <w:t>Yes</w:t>
            </w:r>
          </w:p>
        </w:tc>
        <w:tc>
          <w:tcPr>
            <w:tcW w:w="8801" w:type="dxa"/>
            <w:gridSpan w:val="4"/>
          </w:tcPr>
          <w:p w14:paraId="5C23CFBF" w14:textId="77777777" w:rsidR="00301124" w:rsidRPr="006251A7" w:rsidRDefault="00D674FC" w:rsidP="00754FD1">
            <w:pPr>
              <w:pStyle w:val="TableParagraph"/>
              <w:keepLines/>
              <w:widowControl/>
              <w:spacing w:line="222" w:lineRule="exact"/>
              <w:ind w:left="103"/>
              <w:rPr>
                <w:rFonts w:asciiTheme="minorHAnsi" w:hAnsiTheme="minorHAnsi" w:cstheme="minorHAnsi"/>
                <w:sz w:val="18"/>
                <w:szCs w:val="18"/>
              </w:rPr>
            </w:pPr>
            <w:r w:rsidRPr="006251A7">
              <w:rPr>
                <w:rFonts w:asciiTheme="minorHAnsi" w:hAnsiTheme="minorHAnsi" w:cstheme="minorHAnsi"/>
                <w:sz w:val="18"/>
                <w:szCs w:val="18"/>
              </w:rPr>
              <w:t>The</w:t>
            </w:r>
            <w:r w:rsidRPr="006251A7">
              <w:rPr>
                <w:rFonts w:asciiTheme="minorHAnsi" w:hAnsiTheme="minorHAnsi" w:cstheme="minorHAnsi"/>
                <w:spacing w:val="-9"/>
                <w:sz w:val="18"/>
                <w:szCs w:val="18"/>
              </w:rPr>
              <w:t xml:space="preserve"> </w:t>
            </w:r>
            <w:r w:rsidRPr="006251A7">
              <w:rPr>
                <w:rFonts w:asciiTheme="minorHAnsi" w:hAnsiTheme="minorHAnsi" w:cstheme="minorHAnsi"/>
                <w:sz w:val="18"/>
                <w:szCs w:val="18"/>
              </w:rPr>
              <w:t>mechanism</w:t>
            </w:r>
            <w:r w:rsidRPr="006251A7">
              <w:rPr>
                <w:rFonts w:asciiTheme="minorHAnsi" w:hAnsiTheme="minorHAnsi" w:cstheme="minorHAnsi"/>
                <w:spacing w:val="-6"/>
                <w:sz w:val="18"/>
                <w:szCs w:val="18"/>
              </w:rPr>
              <w:t xml:space="preserve"> </w:t>
            </w:r>
            <w:r w:rsidRPr="006251A7">
              <w:rPr>
                <w:rFonts w:asciiTheme="minorHAnsi" w:hAnsiTheme="minorHAnsi" w:cstheme="minorHAnsi"/>
                <w:sz w:val="18"/>
                <w:szCs w:val="18"/>
              </w:rPr>
              <w:t>or</w:t>
            </w:r>
            <w:r w:rsidRPr="006251A7">
              <w:rPr>
                <w:rFonts w:asciiTheme="minorHAnsi" w:hAnsiTheme="minorHAnsi" w:cstheme="minorHAnsi"/>
                <w:spacing w:val="-2"/>
                <w:sz w:val="18"/>
                <w:szCs w:val="18"/>
              </w:rPr>
              <w:t xml:space="preserve"> </w:t>
            </w:r>
            <w:r w:rsidRPr="006251A7">
              <w:rPr>
                <w:rFonts w:asciiTheme="minorHAnsi" w:hAnsiTheme="minorHAnsi" w:cstheme="minorHAnsi"/>
                <w:sz w:val="18"/>
                <w:szCs w:val="18"/>
              </w:rPr>
              <w:t>program</w:t>
            </w:r>
            <w:r w:rsidRPr="006251A7">
              <w:rPr>
                <w:rFonts w:asciiTheme="minorHAnsi" w:hAnsiTheme="minorHAnsi" w:cstheme="minorHAnsi"/>
                <w:spacing w:val="-1"/>
                <w:sz w:val="18"/>
                <w:szCs w:val="18"/>
              </w:rPr>
              <w:t xml:space="preserve"> </w:t>
            </w:r>
            <w:r w:rsidRPr="006251A7">
              <w:rPr>
                <w:rFonts w:asciiTheme="minorHAnsi" w:hAnsiTheme="minorHAnsi" w:cstheme="minorHAnsi"/>
                <w:b/>
                <w:sz w:val="18"/>
                <w:szCs w:val="18"/>
              </w:rPr>
              <w:t>incents</w:t>
            </w:r>
            <w:r w:rsidRPr="006251A7">
              <w:rPr>
                <w:rFonts w:asciiTheme="minorHAnsi" w:hAnsiTheme="minorHAnsi" w:cstheme="minorHAnsi"/>
                <w:b/>
                <w:spacing w:val="-2"/>
                <w:sz w:val="18"/>
                <w:szCs w:val="18"/>
              </w:rPr>
              <w:t xml:space="preserve"> </w:t>
            </w:r>
            <w:r w:rsidRPr="006251A7">
              <w:rPr>
                <w:rFonts w:asciiTheme="minorHAnsi" w:hAnsiTheme="minorHAnsi" w:cstheme="minorHAnsi"/>
                <w:b/>
                <w:sz w:val="18"/>
                <w:szCs w:val="18"/>
              </w:rPr>
              <w:t>achievement</w:t>
            </w:r>
            <w:r w:rsidRPr="006251A7">
              <w:rPr>
                <w:rFonts w:asciiTheme="minorHAnsi" w:hAnsiTheme="minorHAnsi" w:cstheme="minorHAnsi"/>
                <w:b/>
                <w:spacing w:val="-5"/>
                <w:sz w:val="18"/>
                <w:szCs w:val="18"/>
              </w:rPr>
              <w:t xml:space="preserve"> </w:t>
            </w:r>
            <w:r w:rsidRPr="006251A7">
              <w:rPr>
                <w:rFonts w:asciiTheme="minorHAnsi" w:hAnsiTheme="minorHAnsi" w:cstheme="minorHAnsi"/>
                <w:sz w:val="18"/>
                <w:szCs w:val="18"/>
              </w:rPr>
              <w:t>of</w:t>
            </w:r>
            <w:r w:rsidRPr="006251A7">
              <w:rPr>
                <w:rFonts w:asciiTheme="minorHAnsi" w:hAnsiTheme="minorHAnsi" w:cstheme="minorHAnsi"/>
                <w:spacing w:val="-2"/>
                <w:sz w:val="18"/>
                <w:szCs w:val="18"/>
              </w:rPr>
              <w:t xml:space="preserve"> </w:t>
            </w:r>
            <w:r w:rsidRPr="006251A7">
              <w:rPr>
                <w:rFonts w:asciiTheme="minorHAnsi" w:hAnsiTheme="minorHAnsi" w:cstheme="minorHAnsi"/>
                <w:sz w:val="18"/>
                <w:szCs w:val="18"/>
              </w:rPr>
              <w:t>this</w:t>
            </w:r>
            <w:r w:rsidRPr="006251A7">
              <w:rPr>
                <w:rFonts w:asciiTheme="minorHAnsi" w:hAnsiTheme="minorHAnsi" w:cstheme="minorHAnsi"/>
                <w:spacing w:val="1"/>
                <w:sz w:val="18"/>
                <w:szCs w:val="18"/>
              </w:rPr>
              <w:t xml:space="preserve"> </w:t>
            </w:r>
            <w:r w:rsidRPr="006251A7">
              <w:rPr>
                <w:rFonts w:asciiTheme="minorHAnsi" w:hAnsiTheme="minorHAnsi" w:cstheme="minorHAnsi"/>
                <w:spacing w:val="-2"/>
                <w:sz w:val="18"/>
                <w:szCs w:val="18"/>
              </w:rPr>
              <w:t>outcome.</w:t>
            </w:r>
          </w:p>
        </w:tc>
      </w:tr>
      <w:tr w:rsidR="00301124" w:rsidRPr="006251A7" w14:paraId="0B661C66" w14:textId="77777777" w:rsidTr="2539CAE0">
        <w:tc>
          <w:tcPr>
            <w:tcW w:w="1945" w:type="dxa"/>
          </w:tcPr>
          <w:p w14:paraId="5CADA07A" w14:textId="77777777" w:rsidR="00301124" w:rsidRPr="006251A7" w:rsidRDefault="00D674FC" w:rsidP="00754FD1">
            <w:pPr>
              <w:pStyle w:val="TableParagraph"/>
              <w:keepLines/>
              <w:widowControl/>
              <w:spacing w:line="222" w:lineRule="exact"/>
              <w:ind w:left="16" w:right="5"/>
              <w:jc w:val="center"/>
              <w:rPr>
                <w:rFonts w:asciiTheme="minorHAnsi" w:hAnsiTheme="minorHAnsi" w:cstheme="minorHAnsi"/>
                <w:b/>
                <w:sz w:val="18"/>
                <w:szCs w:val="18"/>
              </w:rPr>
            </w:pPr>
            <w:r w:rsidRPr="006251A7">
              <w:rPr>
                <w:rFonts w:asciiTheme="minorHAnsi" w:hAnsiTheme="minorHAnsi" w:cstheme="minorHAnsi"/>
                <w:b/>
                <w:spacing w:val="-10"/>
                <w:sz w:val="18"/>
                <w:szCs w:val="18"/>
              </w:rPr>
              <w:t>0</w:t>
            </w:r>
          </w:p>
        </w:tc>
        <w:tc>
          <w:tcPr>
            <w:tcW w:w="2217" w:type="dxa"/>
          </w:tcPr>
          <w:p w14:paraId="0BF262D5" w14:textId="77777777" w:rsidR="00301124" w:rsidRPr="006251A7" w:rsidRDefault="00D674FC" w:rsidP="00754FD1">
            <w:pPr>
              <w:pStyle w:val="TableParagraph"/>
              <w:keepLines/>
              <w:widowControl/>
              <w:spacing w:line="222" w:lineRule="exact"/>
              <w:ind w:left="1" w:right="4"/>
              <w:jc w:val="center"/>
              <w:rPr>
                <w:rFonts w:asciiTheme="minorHAnsi" w:hAnsiTheme="minorHAnsi" w:cstheme="minorHAnsi"/>
                <w:b/>
                <w:sz w:val="18"/>
                <w:szCs w:val="18"/>
              </w:rPr>
            </w:pPr>
            <w:r w:rsidRPr="006251A7">
              <w:rPr>
                <w:rFonts w:asciiTheme="minorHAnsi" w:hAnsiTheme="minorHAnsi" w:cstheme="minorHAnsi"/>
                <w:b/>
                <w:sz w:val="18"/>
                <w:szCs w:val="18"/>
              </w:rPr>
              <w:t>No</w:t>
            </w:r>
            <w:r w:rsidRPr="006251A7">
              <w:rPr>
                <w:rFonts w:asciiTheme="minorHAnsi" w:hAnsiTheme="minorHAnsi" w:cstheme="minorHAnsi"/>
                <w:b/>
                <w:spacing w:val="-5"/>
                <w:sz w:val="18"/>
                <w:szCs w:val="18"/>
              </w:rPr>
              <w:t xml:space="preserve"> </w:t>
            </w:r>
            <w:r w:rsidRPr="006251A7">
              <w:rPr>
                <w:rFonts w:asciiTheme="minorHAnsi" w:hAnsiTheme="minorHAnsi" w:cstheme="minorHAnsi"/>
                <w:b/>
                <w:spacing w:val="-2"/>
                <w:sz w:val="18"/>
                <w:szCs w:val="18"/>
              </w:rPr>
              <w:t>Impact</w:t>
            </w:r>
          </w:p>
        </w:tc>
        <w:tc>
          <w:tcPr>
            <w:tcW w:w="8801" w:type="dxa"/>
            <w:gridSpan w:val="4"/>
          </w:tcPr>
          <w:p w14:paraId="6CC6382E" w14:textId="5D917108" w:rsidR="00301124" w:rsidRPr="006251A7" w:rsidRDefault="00D674FC" w:rsidP="00754FD1">
            <w:pPr>
              <w:pStyle w:val="TableParagraph"/>
              <w:keepLines/>
              <w:widowControl/>
              <w:spacing w:line="222" w:lineRule="exact"/>
              <w:ind w:left="103"/>
              <w:rPr>
                <w:rFonts w:asciiTheme="minorHAnsi" w:hAnsiTheme="minorHAnsi" w:cstheme="minorHAnsi"/>
                <w:sz w:val="18"/>
                <w:szCs w:val="18"/>
              </w:rPr>
            </w:pPr>
            <w:r w:rsidRPr="006251A7">
              <w:rPr>
                <w:rFonts w:asciiTheme="minorHAnsi" w:hAnsiTheme="minorHAnsi" w:cstheme="minorHAnsi"/>
                <w:sz w:val="18"/>
                <w:szCs w:val="18"/>
              </w:rPr>
              <w:t>The</w:t>
            </w:r>
            <w:r w:rsidRPr="006251A7">
              <w:rPr>
                <w:rFonts w:asciiTheme="minorHAnsi" w:hAnsiTheme="minorHAnsi" w:cstheme="minorHAnsi"/>
                <w:spacing w:val="-8"/>
                <w:sz w:val="18"/>
                <w:szCs w:val="18"/>
              </w:rPr>
              <w:t xml:space="preserve"> </w:t>
            </w:r>
            <w:r w:rsidRPr="006251A7">
              <w:rPr>
                <w:rFonts w:asciiTheme="minorHAnsi" w:hAnsiTheme="minorHAnsi" w:cstheme="minorHAnsi"/>
                <w:sz w:val="18"/>
                <w:szCs w:val="18"/>
              </w:rPr>
              <w:t>mechanism</w:t>
            </w:r>
            <w:r w:rsidRPr="006251A7">
              <w:rPr>
                <w:rFonts w:asciiTheme="minorHAnsi" w:hAnsiTheme="minorHAnsi" w:cstheme="minorHAnsi"/>
                <w:spacing w:val="-5"/>
                <w:sz w:val="18"/>
                <w:szCs w:val="18"/>
              </w:rPr>
              <w:t xml:space="preserve"> </w:t>
            </w:r>
            <w:r w:rsidRPr="006251A7">
              <w:rPr>
                <w:rFonts w:asciiTheme="minorHAnsi" w:hAnsiTheme="minorHAnsi" w:cstheme="minorHAnsi"/>
                <w:sz w:val="18"/>
                <w:szCs w:val="18"/>
              </w:rPr>
              <w:t>or</w:t>
            </w:r>
            <w:r w:rsidRPr="006251A7">
              <w:rPr>
                <w:rFonts w:asciiTheme="minorHAnsi" w:hAnsiTheme="minorHAnsi" w:cstheme="minorHAnsi"/>
                <w:spacing w:val="-2"/>
                <w:sz w:val="18"/>
                <w:szCs w:val="18"/>
              </w:rPr>
              <w:t xml:space="preserve"> </w:t>
            </w:r>
            <w:r w:rsidRPr="006251A7">
              <w:rPr>
                <w:rFonts w:asciiTheme="minorHAnsi" w:hAnsiTheme="minorHAnsi" w:cstheme="minorHAnsi"/>
                <w:sz w:val="18"/>
                <w:szCs w:val="18"/>
              </w:rPr>
              <w:t>program</w:t>
            </w:r>
            <w:r w:rsidRPr="006251A7">
              <w:rPr>
                <w:rFonts w:asciiTheme="minorHAnsi" w:hAnsiTheme="minorHAnsi" w:cstheme="minorHAnsi"/>
                <w:spacing w:val="1"/>
                <w:sz w:val="18"/>
                <w:szCs w:val="18"/>
              </w:rPr>
              <w:t xml:space="preserve"> </w:t>
            </w:r>
            <w:r w:rsidRPr="006251A7">
              <w:rPr>
                <w:rFonts w:asciiTheme="minorHAnsi" w:hAnsiTheme="minorHAnsi" w:cstheme="minorHAnsi"/>
                <w:b/>
                <w:sz w:val="18"/>
                <w:szCs w:val="18"/>
              </w:rPr>
              <w:t>does</w:t>
            </w:r>
            <w:r w:rsidRPr="006251A7">
              <w:rPr>
                <w:rFonts w:asciiTheme="minorHAnsi" w:hAnsiTheme="minorHAnsi" w:cstheme="minorHAnsi"/>
                <w:b/>
                <w:spacing w:val="-5"/>
                <w:sz w:val="18"/>
                <w:szCs w:val="18"/>
              </w:rPr>
              <w:t xml:space="preserve"> </w:t>
            </w:r>
            <w:r w:rsidRPr="006251A7">
              <w:rPr>
                <w:rFonts w:asciiTheme="minorHAnsi" w:hAnsiTheme="minorHAnsi" w:cstheme="minorHAnsi"/>
                <w:b/>
                <w:sz w:val="18"/>
                <w:szCs w:val="18"/>
              </w:rPr>
              <w:t>not</w:t>
            </w:r>
            <w:r w:rsidRPr="006251A7">
              <w:rPr>
                <w:rFonts w:asciiTheme="minorHAnsi" w:hAnsiTheme="minorHAnsi" w:cstheme="minorHAnsi"/>
                <w:b/>
                <w:spacing w:val="-6"/>
                <w:sz w:val="18"/>
                <w:szCs w:val="18"/>
              </w:rPr>
              <w:t xml:space="preserve"> </w:t>
            </w:r>
            <w:r w:rsidRPr="006251A7">
              <w:rPr>
                <w:rFonts w:asciiTheme="minorHAnsi" w:hAnsiTheme="minorHAnsi" w:cstheme="minorHAnsi"/>
                <w:b/>
                <w:sz w:val="18"/>
                <w:szCs w:val="18"/>
              </w:rPr>
              <w:t>seem</w:t>
            </w:r>
            <w:r w:rsidRPr="006251A7">
              <w:rPr>
                <w:rFonts w:asciiTheme="minorHAnsi" w:hAnsiTheme="minorHAnsi" w:cstheme="minorHAnsi"/>
                <w:b/>
                <w:spacing w:val="-1"/>
                <w:sz w:val="18"/>
                <w:szCs w:val="18"/>
              </w:rPr>
              <w:t xml:space="preserve"> </w:t>
            </w:r>
            <w:r w:rsidRPr="006251A7">
              <w:rPr>
                <w:rFonts w:asciiTheme="minorHAnsi" w:hAnsiTheme="minorHAnsi" w:cstheme="minorHAnsi"/>
                <w:b/>
                <w:sz w:val="18"/>
                <w:szCs w:val="18"/>
              </w:rPr>
              <w:t>to</w:t>
            </w:r>
            <w:r w:rsidRPr="006251A7">
              <w:rPr>
                <w:rFonts w:asciiTheme="minorHAnsi" w:hAnsiTheme="minorHAnsi" w:cstheme="minorHAnsi"/>
                <w:b/>
                <w:spacing w:val="-2"/>
                <w:sz w:val="18"/>
                <w:szCs w:val="18"/>
              </w:rPr>
              <w:t xml:space="preserve"> </w:t>
            </w:r>
            <w:r w:rsidRPr="006251A7">
              <w:rPr>
                <w:rFonts w:asciiTheme="minorHAnsi" w:hAnsiTheme="minorHAnsi" w:cstheme="minorHAnsi"/>
                <w:b/>
                <w:sz w:val="18"/>
                <w:szCs w:val="18"/>
              </w:rPr>
              <w:t xml:space="preserve">impact </w:t>
            </w:r>
            <w:r w:rsidR="008D1F0D" w:rsidRPr="006251A7">
              <w:rPr>
                <w:rFonts w:asciiTheme="minorHAnsi" w:hAnsiTheme="minorHAnsi" w:cstheme="minorHAnsi"/>
                <w:b/>
                <w:sz w:val="18"/>
                <w:szCs w:val="18"/>
              </w:rPr>
              <w:t xml:space="preserve">the </w:t>
            </w:r>
            <w:r w:rsidRPr="006251A7">
              <w:rPr>
                <w:rFonts w:asciiTheme="minorHAnsi" w:hAnsiTheme="minorHAnsi" w:cstheme="minorHAnsi"/>
                <w:b/>
                <w:sz w:val="18"/>
                <w:szCs w:val="18"/>
              </w:rPr>
              <w:t>achievement</w:t>
            </w:r>
            <w:r w:rsidRPr="006251A7">
              <w:rPr>
                <w:rFonts w:asciiTheme="minorHAnsi" w:hAnsiTheme="minorHAnsi" w:cstheme="minorHAnsi"/>
                <w:b/>
                <w:spacing w:val="-3"/>
                <w:sz w:val="18"/>
                <w:szCs w:val="18"/>
              </w:rPr>
              <w:t xml:space="preserve"> </w:t>
            </w:r>
            <w:r w:rsidRPr="006251A7">
              <w:rPr>
                <w:rFonts w:asciiTheme="minorHAnsi" w:hAnsiTheme="minorHAnsi" w:cstheme="minorHAnsi"/>
                <w:sz w:val="18"/>
                <w:szCs w:val="18"/>
              </w:rPr>
              <w:t>of</w:t>
            </w:r>
            <w:r w:rsidRPr="006251A7">
              <w:rPr>
                <w:rFonts w:asciiTheme="minorHAnsi" w:hAnsiTheme="minorHAnsi" w:cstheme="minorHAnsi"/>
                <w:spacing w:val="-5"/>
                <w:sz w:val="18"/>
                <w:szCs w:val="18"/>
              </w:rPr>
              <w:t xml:space="preserve"> </w:t>
            </w:r>
            <w:r w:rsidRPr="006251A7">
              <w:rPr>
                <w:rFonts w:asciiTheme="minorHAnsi" w:hAnsiTheme="minorHAnsi" w:cstheme="minorHAnsi"/>
                <w:sz w:val="18"/>
                <w:szCs w:val="18"/>
              </w:rPr>
              <w:t>this</w:t>
            </w:r>
            <w:r w:rsidRPr="006251A7">
              <w:rPr>
                <w:rFonts w:asciiTheme="minorHAnsi" w:hAnsiTheme="minorHAnsi" w:cstheme="minorHAnsi"/>
                <w:spacing w:val="-3"/>
                <w:sz w:val="18"/>
                <w:szCs w:val="18"/>
              </w:rPr>
              <w:t xml:space="preserve"> </w:t>
            </w:r>
            <w:r w:rsidRPr="006251A7">
              <w:rPr>
                <w:rFonts w:asciiTheme="minorHAnsi" w:hAnsiTheme="minorHAnsi" w:cstheme="minorHAnsi"/>
                <w:spacing w:val="-2"/>
                <w:sz w:val="18"/>
                <w:szCs w:val="18"/>
              </w:rPr>
              <w:t>outcome.</w:t>
            </w:r>
          </w:p>
        </w:tc>
      </w:tr>
      <w:tr w:rsidR="00301124" w:rsidRPr="006251A7" w14:paraId="5A2D61CB" w14:textId="77777777" w:rsidTr="2539CAE0">
        <w:tc>
          <w:tcPr>
            <w:tcW w:w="1945" w:type="dxa"/>
          </w:tcPr>
          <w:p w14:paraId="675C26E1" w14:textId="77777777" w:rsidR="00301124" w:rsidRPr="006251A7" w:rsidRDefault="00D674FC" w:rsidP="00754FD1">
            <w:pPr>
              <w:pStyle w:val="TableParagraph"/>
              <w:keepLines/>
              <w:widowControl/>
              <w:spacing w:line="223" w:lineRule="exact"/>
              <w:ind w:left="16"/>
              <w:jc w:val="center"/>
              <w:rPr>
                <w:rFonts w:asciiTheme="minorHAnsi" w:hAnsiTheme="minorHAnsi" w:cstheme="minorHAnsi"/>
                <w:b/>
                <w:sz w:val="18"/>
                <w:szCs w:val="18"/>
              </w:rPr>
            </w:pPr>
            <w:r w:rsidRPr="006251A7">
              <w:rPr>
                <w:rFonts w:asciiTheme="minorHAnsi" w:hAnsiTheme="minorHAnsi" w:cstheme="minorHAnsi"/>
                <w:b/>
                <w:spacing w:val="-10"/>
                <w:sz w:val="18"/>
                <w:szCs w:val="18"/>
              </w:rPr>
              <w:t>-</w:t>
            </w:r>
          </w:p>
        </w:tc>
        <w:tc>
          <w:tcPr>
            <w:tcW w:w="2217" w:type="dxa"/>
          </w:tcPr>
          <w:p w14:paraId="554C7DEC" w14:textId="77777777" w:rsidR="00301124" w:rsidRPr="006251A7" w:rsidRDefault="00D674FC" w:rsidP="00754FD1">
            <w:pPr>
              <w:pStyle w:val="TableParagraph"/>
              <w:keepLines/>
              <w:widowControl/>
              <w:spacing w:line="223" w:lineRule="exact"/>
              <w:ind w:left="4" w:right="3"/>
              <w:jc w:val="center"/>
              <w:rPr>
                <w:rFonts w:asciiTheme="minorHAnsi" w:hAnsiTheme="minorHAnsi" w:cstheme="minorHAnsi"/>
                <w:b/>
                <w:sz w:val="18"/>
                <w:szCs w:val="18"/>
              </w:rPr>
            </w:pPr>
            <w:r w:rsidRPr="006251A7">
              <w:rPr>
                <w:rFonts w:asciiTheme="minorHAnsi" w:hAnsiTheme="minorHAnsi" w:cstheme="minorHAnsi"/>
                <w:b/>
                <w:spacing w:val="-5"/>
                <w:sz w:val="18"/>
                <w:szCs w:val="18"/>
              </w:rPr>
              <w:t>No</w:t>
            </w:r>
          </w:p>
        </w:tc>
        <w:tc>
          <w:tcPr>
            <w:tcW w:w="8801" w:type="dxa"/>
            <w:gridSpan w:val="4"/>
          </w:tcPr>
          <w:p w14:paraId="7287AE0F" w14:textId="6E8B29A6" w:rsidR="00301124" w:rsidRPr="006251A7" w:rsidRDefault="00D674FC" w:rsidP="00754FD1">
            <w:pPr>
              <w:pStyle w:val="TableParagraph"/>
              <w:keepLines/>
              <w:widowControl/>
              <w:spacing w:line="223" w:lineRule="exact"/>
              <w:ind w:left="103"/>
              <w:rPr>
                <w:rFonts w:asciiTheme="minorHAnsi" w:hAnsiTheme="minorHAnsi" w:cstheme="minorHAnsi"/>
                <w:sz w:val="18"/>
                <w:szCs w:val="18"/>
              </w:rPr>
            </w:pPr>
            <w:r w:rsidRPr="006251A7">
              <w:rPr>
                <w:rFonts w:asciiTheme="minorHAnsi" w:hAnsiTheme="minorHAnsi" w:cstheme="minorHAnsi"/>
                <w:sz w:val="18"/>
                <w:szCs w:val="18"/>
              </w:rPr>
              <w:t>The</w:t>
            </w:r>
            <w:r w:rsidRPr="006251A7">
              <w:rPr>
                <w:rFonts w:asciiTheme="minorHAnsi" w:hAnsiTheme="minorHAnsi" w:cstheme="minorHAnsi"/>
                <w:spacing w:val="-8"/>
                <w:sz w:val="18"/>
                <w:szCs w:val="18"/>
              </w:rPr>
              <w:t xml:space="preserve"> </w:t>
            </w:r>
            <w:r w:rsidRPr="006251A7">
              <w:rPr>
                <w:rFonts w:asciiTheme="minorHAnsi" w:hAnsiTheme="minorHAnsi" w:cstheme="minorHAnsi"/>
                <w:sz w:val="18"/>
                <w:szCs w:val="18"/>
              </w:rPr>
              <w:t>mechanism</w:t>
            </w:r>
            <w:r w:rsidRPr="006251A7">
              <w:rPr>
                <w:rFonts w:asciiTheme="minorHAnsi" w:hAnsiTheme="minorHAnsi" w:cstheme="minorHAnsi"/>
                <w:spacing w:val="-6"/>
                <w:sz w:val="18"/>
                <w:szCs w:val="18"/>
              </w:rPr>
              <w:t xml:space="preserve"> </w:t>
            </w:r>
            <w:r w:rsidRPr="006251A7">
              <w:rPr>
                <w:rFonts w:asciiTheme="minorHAnsi" w:hAnsiTheme="minorHAnsi" w:cstheme="minorHAnsi"/>
                <w:sz w:val="18"/>
                <w:szCs w:val="18"/>
              </w:rPr>
              <w:t>or</w:t>
            </w:r>
            <w:r w:rsidRPr="006251A7">
              <w:rPr>
                <w:rFonts w:asciiTheme="minorHAnsi" w:hAnsiTheme="minorHAnsi" w:cstheme="minorHAnsi"/>
                <w:spacing w:val="-2"/>
                <w:sz w:val="18"/>
                <w:szCs w:val="18"/>
              </w:rPr>
              <w:t xml:space="preserve"> </w:t>
            </w:r>
            <w:r w:rsidRPr="006251A7">
              <w:rPr>
                <w:rFonts w:asciiTheme="minorHAnsi" w:hAnsiTheme="minorHAnsi" w:cstheme="minorHAnsi"/>
                <w:sz w:val="18"/>
                <w:szCs w:val="18"/>
              </w:rPr>
              <w:t xml:space="preserve">program </w:t>
            </w:r>
            <w:r w:rsidRPr="006251A7">
              <w:rPr>
                <w:rFonts w:asciiTheme="minorHAnsi" w:hAnsiTheme="minorHAnsi" w:cstheme="minorHAnsi"/>
                <w:b/>
                <w:sz w:val="18"/>
                <w:szCs w:val="18"/>
              </w:rPr>
              <w:t>disincentivizes</w:t>
            </w:r>
            <w:r w:rsidRPr="006251A7">
              <w:rPr>
                <w:rFonts w:asciiTheme="minorHAnsi" w:hAnsiTheme="minorHAnsi" w:cstheme="minorHAnsi"/>
                <w:b/>
                <w:spacing w:val="-6"/>
                <w:sz w:val="18"/>
                <w:szCs w:val="18"/>
              </w:rPr>
              <w:t xml:space="preserve"> </w:t>
            </w:r>
            <w:r w:rsidR="008D1F0D" w:rsidRPr="006251A7">
              <w:rPr>
                <w:rFonts w:asciiTheme="minorHAnsi" w:hAnsiTheme="minorHAnsi" w:cstheme="minorHAnsi"/>
                <w:b/>
                <w:spacing w:val="-6"/>
                <w:sz w:val="18"/>
                <w:szCs w:val="18"/>
              </w:rPr>
              <w:t xml:space="preserve">the </w:t>
            </w:r>
            <w:r w:rsidRPr="006251A7">
              <w:rPr>
                <w:rFonts w:asciiTheme="minorHAnsi" w:hAnsiTheme="minorHAnsi" w:cstheme="minorHAnsi"/>
                <w:b/>
                <w:sz w:val="18"/>
                <w:szCs w:val="18"/>
              </w:rPr>
              <w:t>achievement</w:t>
            </w:r>
            <w:r w:rsidRPr="006251A7">
              <w:rPr>
                <w:rFonts w:asciiTheme="minorHAnsi" w:hAnsiTheme="minorHAnsi" w:cstheme="minorHAnsi"/>
                <w:b/>
                <w:spacing w:val="-4"/>
                <w:sz w:val="18"/>
                <w:szCs w:val="18"/>
              </w:rPr>
              <w:t xml:space="preserve"> </w:t>
            </w:r>
            <w:r w:rsidRPr="006251A7">
              <w:rPr>
                <w:rFonts w:asciiTheme="minorHAnsi" w:hAnsiTheme="minorHAnsi" w:cstheme="minorHAnsi"/>
                <w:sz w:val="18"/>
                <w:szCs w:val="18"/>
              </w:rPr>
              <w:t>of</w:t>
            </w:r>
            <w:r w:rsidRPr="006251A7">
              <w:rPr>
                <w:rFonts w:asciiTheme="minorHAnsi" w:hAnsiTheme="minorHAnsi" w:cstheme="minorHAnsi"/>
                <w:spacing w:val="-6"/>
                <w:sz w:val="18"/>
                <w:szCs w:val="18"/>
              </w:rPr>
              <w:t xml:space="preserve"> </w:t>
            </w:r>
            <w:r w:rsidRPr="006251A7">
              <w:rPr>
                <w:rFonts w:asciiTheme="minorHAnsi" w:hAnsiTheme="minorHAnsi" w:cstheme="minorHAnsi"/>
                <w:sz w:val="18"/>
                <w:szCs w:val="18"/>
              </w:rPr>
              <w:t>this</w:t>
            </w:r>
            <w:r w:rsidRPr="006251A7">
              <w:rPr>
                <w:rFonts w:asciiTheme="minorHAnsi" w:hAnsiTheme="minorHAnsi" w:cstheme="minorHAnsi"/>
                <w:spacing w:val="-3"/>
                <w:sz w:val="18"/>
                <w:szCs w:val="18"/>
              </w:rPr>
              <w:t xml:space="preserve"> </w:t>
            </w:r>
            <w:r w:rsidRPr="006251A7">
              <w:rPr>
                <w:rFonts w:asciiTheme="minorHAnsi" w:hAnsiTheme="minorHAnsi" w:cstheme="minorHAnsi"/>
                <w:spacing w:val="-2"/>
                <w:sz w:val="18"/>
                <w:szCs w:val="18"/>
              </w:rPr>
              <w:t>outcome.</w:t>
            </w:r>
          </w:p>
        </w:tc>
      </w:tr>
      <w:tr w:rsidR="00301124" w:rsidRPr="006251A7" w14:paraId="6FAE87BA" w14:textId="77777777" w:rsidTr="2539CAE0">
        <w:tc>
          <w:tcPr>
            <w:tcW w:w="1945" w:type="dxa"/>
            <w:vMerge w:val="restart"/>
            <w:shd w:val="clear" w:color="auto" w:fill="3B7E32"/>
            <w:vAlign w:val="center"/>
          </w:tcPr>
          <w:p w14:paraId="171D5AB7" w14:textId="77777777" w:rsidR="00301124" w:rsidRPr="006251A7" w:rsidRDefault="00D674FC" w:rsidP="00754FD1">
            <w:pPr>
              <w:pStyle w:val="TableParagraph"/>
              <w:keepLines/>
              <w:widowControl/>
              <w:spacing w:line="232" w:lineRule="auto"/>
              <w:ind w:left="110" w:right="203"/>
              <w:rPr>
                <w:rFonts w:asciiTheme="minorHAnsi" w:hAnsiTheme="minorHAnsi" w:cstheme="minorHAnsi"/>
                <w:b/>
                <w:sz w:val="18"/>
                <w:szCs w:val="18"/>
              </w:rPr>
            </w:pPr>
            <w:r w:rsidRPr="006251A7">
              <w:rPr>
                <w:rFonts w:asciiTheme="minorHAnsi" w:hAnsiTheme="minorHAnsi" w:cstheme="minorHAnsi"/>
                <w:b/>
                <w:color w:val="FFFFFF"/>
                <w:spacing w:val="-2"/>
                <w:sz w:val="18"/>
                <w:szCs w:val="18"/>
              </w:rPr>
              <w:t xml:space="preserve">Existing Regulatory </w:t>
            </w:r>
            <w:r w:rsidRPr="006251A7">
              <w:rPr>
                <w:rFonts w:asciiTheme="minorHAnsi" w:hAnsiTheme="minorHAnsi" w:cstheme="minorHAnsi"/>
                <w:b/>
                <w:color w:val="FFFFFF"/>
                <w:sz w:val="18"/>
                <w:szCs w:val="18"/>
              </w:rPr>
              <w:t>Mechanisms</w:t>
            </w:r>
            <w:r w:rsidRPr="006251A7">
              <w:rPr>
                <w:rFonts w:asciiTheme="minorHAnsi" w:hAnsiTheme="minorHAnsi" w:cstheme="minorHAnsi"/>
                <w:b/>
                <w:color w:val="FFFFFF"/>
                <w:spacing w:val="-14"/>
                <w:sz w:val="18"/>
                <w:szCs w:val="18"/>
              </w:rPr>
              <w:t xml:space="preserve"> </w:t>
            </w:r>
            <w:r w:rsidRPr="006251A7">
              <w:rPr>
                <w:rFonts w:asciiTheme="minorHAnsi" w:hAnsiTheme="minorHAnsi" w:cstheme="minorHAnsi"/>
                <w:b/>
                <w:color w:val="FFFFFF"/>
                <w:sz w:val="18"/>
                <w:szCs w:val="18"/>
              </w:rPr>
              <w:t xml:space="preserve">and </w:t>
            </w:r>
            <w:r w:rsidRPr="006251A7">
              <w:rPr>
                <w:rFonts w:asciiTheme="minorHAnsi" w:hAnsiTheme="minorHAnsi" w:cstheme="minorHAnsi"/>
                <w:b/>
                <w:color w:val="FFFFFF"/>
                <w:spacing w:val="-2"/>
                <w:sz w:val="18"/>
                <w:szCs w:val="18"/>
              </w:rPr>
              <w:t>Programs</w:t>
            </w:r>
          </w:p>
        </w:tc>
        <w:tc>
          <w:tcPr>
            <w:tcW w:w="2217" w:type="dxa"/>
            <w:vMerge w:val="restart"/>
            <w:shd w:val="clear" w:color="auto" w:fill="3B7E32"/>
            <w:vAlign w:val="center"/>
          </w:tcPr>
          <w:p w14:paraId="35C0F124" w14:textId="77777777" w:rsidR="00301124" w:rsidRPr="006251A7" w:rsidRDefault="00D674FC" w:rsidP="00754FD1">
            <w:pPr>
              <w:pStyle w:val="TableParagraph"/>
              <w:keepLines/>
              <w:widowControl/>
              <w:ind w:left="555"/>
              <w:rPr>
                <w:rFonts w:asciiTheme="minorHAnsi" w:hAnsiTheme="minorHAnsi" w:cstheme="minorHAnsi"/>
                <w:b/>
                <w:sz w:val="18"/>
                <w:szCs w:val="18"/>
              </w:rPr>
            </w:pPr>
            <w:r w:rsidRPr="006251A7">
              <w:rPr>
                <w:rFonts w:asciiTheme="minorHAnsi" w:hAnsiTheme="minorHAnsi" w:cstheme="minorHAnsi"/>
                <w:b/>
                <w:color w:val="FFFFFF"/>
                <w:spacing w:val="-2"/>
                <w:sz w:val="18"/>
                <w:szCs w:val="18"/>
              </w:rPr>
              <w:t>Description</w:t>
            </w:r>
          </w:p>
        </w:tc>
        <w:tc>
          <w:tcPr>
            <w:tcW w:w="4267" w:type="dxa"/>
            <w:gridSpan w:val="3"/>
            <w:shd w:val="clear" w:color="auto" w:fill="3B7E32"/>
          </w:tcPr>
          <w:p w14:paraId="45EFD270" w14:textId="77777777" w:rsidR="00301124" w:rsidRPr="006251A7" w:rsidRDefault="00D674FC" w:rsidP="00754FD1">
            <w:pPr>
              <w:pStyle w:val="TableParagraph"/>
              <w:keepLines/>
              <w:widowControl/>
              <w:spacing w:before="131" w:line="235" w:lineRule="auto"/>
              <w:ind w:right="527"/>
              <w:jc w:val="center"/>
              <w:rPr>
                <w:rFonts w:asciiTheme="minorHAnsi" w:hAnsiTheme="minorHAnsi" w:cstheme="minorHAnsi"/>
                <w:b/>
                <w:sz w:val="18"/>
                <w:szCs w:val="18"/>
              </w:rPr>
            </w:pPr>
            <w:r w:rsidRPr="006251A7">
              <w:rPr>
                <w:rFonts w:asciiTheme="minorHAnsi" w:hAnsiTheme="minorHAnsi" w:cstheme="minorHAnsi"/>
                <w:b/>
                <w:color w:val="FFFFFF"/>
                <w:sz w:val="18"/>
                <w:szCs w:val="18"/>
              </w:rPr>
              <w:t>Mechanism</w:t>
            </w:r>
            <w:r w:rsidRPr="006251A7">
              <w:rPr>
                <w:rFonts w:asciiTheme="minorHAnsi" w:hAnsiTheme="minorHAnsi" w:cstheme="minorHAnsi"/>
                <w:b/>
                <w:color w:val="FFFFFF"/>
                <w:spacing w:val="-10"/>
                <w:sz w:val="18"/>
                <w:szCs w:val="18"/>
              </w:rPr>
              <w:t xml:space="preserve"> </w:t>
            </w:r>
            <w:r w:rsidRPr="006251A7">
              <w:rPr>
                <w:rFonts w:asciiTheme="minorHAnsi" w:hAnsiTheme="minorHAnsi" w:cstheme="minorHAnsi"/>
                <w:b/>
                <w:color w:val="FFFFFF"/>
                <w:sz w:val="18"/>
                <w:szCs w:val="18"/>
              </w:rPr>
              <w:t>or</w:t>
            </w:r>
            <w:r w:rsidRPr="006251A7">
              <w:rPr>
                <w:rFonts w:asciiTheme="minorHAnsi" w:hAnsiTheme="minorHAnsi" w:cstheme="minorHAnsi"/>
                <w:b/>
                <w:color w:val="FFFFFF"/>
                <w:spacing w:val="-10"/>
                <w:sz w:val="18"/>
                <w:szCs w:val="18"/>
              </w:rPr>
              <w:t xml:space="preserve"> </w:t>
            </w:r>
            <w:r w:rsidRPr="006251A7">
              <w:rPr>
                <w:rFonts w:asciiTheme="minorHAnsi" w:hAnsiTheme="minorHAnsi" w:cstheme="minorHAnsi"/>
                <w:b/>
                <w:color w:val="FFFFFF"/>
                <w:sz w:val="18"/>
                <w:szCs w:val="18"/>
              </w:rPr>
              <w:t>Program’s</w:t>
            </w:r>
            <w:r w:rsidRPr="006251A7">
              <w:rPr>
                <w:rFonts w:asciiTheme="minorHAnsi" w:hAnsiTheme="minorHAnsi" w:cstheme="minorHAnsi"/>
                <w:b/>
                <w:color w:val="FFFFFF"/>
                <w:spacing w:val="-14"/>
                <w:sz w:val="18"/>
                <w:szCs w:val="18"/>
              </w:rPr>
              <w:t xml:space="preserve"> </w:t>
            </w:r>
            <w:r w:rsidRPr="006251A7">
              <w:rPr>
                <w:rFonts w:asciiTheme="minorHAnsi" w:hAnsiTheme="minorHAnsi" w:cstheme="minorHAnsi"/>
                <w:b/>
                <w:color w:val="FFFFFF"/>
                <w:sz w:val="18"/>
                <w:szCs w:val="18"/>
              </w:rPr>
              <w:t>Effect</w:t>
            </w:r>
            <w:r w:rsidRPr="006251A7">
              <w:rPr>
                <w:rFonts w:asciiTheme="minorHAnsi" w:hAnsiTheme="minorHAnsi" w:cstheme="minorHAnsi"/>
                <w:b/>
                <w:color w:val="FFFFFF"/>
                <w:spacing w:val="-10"/>
                <w:sz w:val="18"/>
                <w:szCs w:val="18"/>
              </w:rPr>
              <w:t xml:space="preserve"> </w:t>
            </w:r>
            <w:r w:rsidRPr="006251A7">
              <w:rPr>
                <w:rFonts w:asciiTheme="minorHAnsi" w:hAnsiTheme="minorHAnsi" w:cstheme="minorHAnsi"/>
                <w:b/>
                <w:color w:val="FFFFFF"/>
                <w:sz w:val="18"/>
                <w:szCs w:val="18"/>
              </w:rPr>
              <w:t xml:space="preserve">on </w:t>
            </w:r>
            <w:r w:rsidRPr="006251A7">
              <w:rPr>
                <w:rFonts w:asciiTheme="minorHAnsi" w:hAnsiTheme="minorHAnsi" w:cstheme="minorHAnsi"/>
                <w:b/>
                <w:color w:val="FFFFFF"/>
                <w:spacing w:val="-2"/>
                <w:sz w:val="18"/>
                <w:szCs w:val="18"/>
              </w:rPr>
              <w:t>Outcome</w:t>
            </w:r>
          </w:p>
        </w:tc>
        <w:tc>
          <w:tcPr>
            <w:tcW w:w="4534" w:type="dxa"/>
            <w:vMerge w:val="restart"/>
            <w:shd w:val="clear" w:color="auto" w:fill="3B7E32"/>
            <w:vAlign w:val="center"/>
          </w:tcPr>
          <w:p w14:paraId="40CC10D5" w14:textId="77777777" w:rsidR="00301124" w:rsidRPr="006251A7" w:rsidRDefault="00D674FC" w:rsidP="00754FD1">
            <w:pPr>
              <w:pStyle w:val="TableParagraph"/>
              <w:keepLines/>
              <w:widowControl/>
              <w:ind w:left="1271"/>
              <w:rPr>
                <w:rFonts w:asciiTheme="minorHAnsi" w:hAnsiTheme="minorHAnsi" w:cstheme="minorHAnsi"/>
                <w:b/>
                <w:sz w:val="18"/>
                <w:szCs w:val="18"/>
              </w:rPr>
            </w:pPr>
            <w:r w:rsidRPr="006251A7">
              <w:rPr>
                <w:rFonts w:asciiTheme="minorHAnsi" w:hAnsiTheme="minorHAnsi" w:cstheme="minorHAnsi"/>
                <w:b/>
                <w:color w:val="FFFFFF"/>
                <w:sz w:val="18"/>
                <w:szCs w:val="18"/>
              </w:rPr>
              <w:t>Issues</w:t>
            </w:r>
            <w:r w:rsidRPr="006251A7">
              <w:rPr>
                <w:rFonts w:asciiTheme="minorHAnsi" w:hAnsiTheme="minorHAnsi" w:cstheme="minorHAnsi"/>
                <w:b/>
                <w:color w:val="FFFFFF"/>
                <w:spacing w:val="-8"/>
                <w:sz w:val="18"/>
                <w:szCs w:val="18"/>
              </w:rPr>
              <w:t xml:space="preserve"> </w:t>
            </w:r>
            <w:r w:rsidRPr="006251A7">
              <w:rPr>
                <w:rFonts w:asciiTheme="minorHAnsi" w:hAnsiTheme="minorHAnsi" w:cstheme="minorHAnsi"/>
                <w:b/>
                <w:color w:val="FFFFFF"/>
                <w:sz w:val="18"/>
                <w:szCs w:val="18"/>
              </w:rPr>
              <w:t>for</w:t>
            </w:r>
            <w:r w:rsidRPr="006251A7">
              <w:rPr>
                <w:rFonts w:asciiTheme="minorHAnsi" w:hAnsiTheme="minorHAnsi" w:cstheme="minorHAnsi"/>
                <w:b/>
                <w:color w:val="FFFFFF"/>
                <w:spacing w:val="-3"/>
                <w:sz w:val="18"/>
                <w:szCs w:val="18"/>
              </w:rPr>
              <w:t xml:space="preserve"> </w:t>
            </w:r>
            <w:r w:rsidRPr="006251A7">
              <w:rPr>
                <w:rFonts w:asciiTheme="minorHAnsi" w:hAnsiTheme="minorHAnsi" w:cstheme="minorHAnsi"/>
                <w:b/>
                <w:color w:val="FFFFFF"/>
                <w:spacing w:val="-2"/>
                <w:sz w:val="18"/>
                <w:szCs w:val="18"/>
              </w:rPr>
              <w:t>Attention</w:t>
            </w:r>
          </w:p>
        </w:tc>
      </w:tr>
      <w:tr w:rsidR="00301124" w:rsidRPr="006251A7" w14:paraId="15DFADA7" w14:textId="77777777" w:rsidTr="2539CAE0">
        <w:tc>
          <w:tcPr>
            <w:tcW w:w="1945" w:type="dxa"/>
            <w:vMerge/>
          </w:tcPr>
          <w:p w14:paraId="1599EE4C" w14:textId="77777777" w:rsidR="00301124" w:rsidRPr="006251A7" w:rsidRDefault="00301124" w:rsidP="00754FD1">
            <w:pPr>
              <w:keepLines/>
              <w:widowControl/>
              <w:rPr>
                <w:rFonts w:asciiTheme="minorHAnsi" w:hAnsiTheme="minorHAnsi" w:cstheme="minorHAnsi"/>
                <w:sz w:val="18"/>
                <w:szCs w:val="18"/>
              </w:rPr>
            </w:pPr>
          </w:p>
        </w:tc>
        <w:tc>
          <w:tcPr>
            <w:tcW w:w="2217" w:type="dxa"/>
            <w:vMerge/>
          </w:tcPr>
          <w:p w14:paraId="4D5799AC" w14:textId="77777777" w:rsidR="00301124" w:rsidRPr="006251A7" w:rsidRDefault="00301124" w:rsidP="00754FD1">
            <w:pPr>
              <w:keepLines/>
              <w:widowControl/>
              <w:rPr>
                <w:rFonts w:asciiTheme="minorHAnsi" w:hAnsiTheme="minorHAnsi" w:cstheme="minorHAnsi"/>
                <w:sz w:val="18"/>
                <w:szCs w:val="18"/>
              </w:rPr>
            </w:pPr>
          </w:p>
        </w:tc>
        <w:tc>
          <w:tcPr>
            <w:tcW w:w="971" w:type="dxa"/>
            <w:gridSpan w:val="2"/>
            <w:shd w:val="clear" w:color="auto" w:fill="3B7E32"/>
          </w:tcPr>
          <w:p w14:paraId="34AF40F0" w14:textId="77777777" w:rsidR="00301124" w:rsidRPr="006251A7" w:rsidRDefault="00D674FC" w:rsidP="00754FD1">
            <w:pPr>
              <w:pStyle w:val="TableParagraph"/>
              <w:keepLines/>
              <w:widowControl/>
              <w:spacing w:line="266" w:lineRule="auto"/>
              <w:ind w:left="208" w:right="199" w:hanging="5"/>
              <w:rPr>
                <w:rFonts w:asciiTheme="minorHAnsi" w:hAnsiTheme="minorHAnsi" w:cstheme="minorHAnsi"/>
                <w:b/>
                <w:sz w:val="18"/>
                <w:szCs w:val="18"/>
              </w:rPr>
            </w:pPr>
            <w:r w:rsidRPr="006251A7">
              <w:rPr>
                <w:rFonts w:asciiTheme="minorHAnsi" w:hAnsiTheme="minorHAnsi" w:cstheme="minorHAnsi"/>
                <w:b/>
                <w:color w:val="FFFFFF"/>
                <w:spacing w:val="-2"/>
                <w:sz w:val="18"/>
                <w:szCs w:val="18"/>
              </w:rPr>
              <w:t>Score (+/0/-</w:t>
            </w:r>
            <w:r w:rsidRPr="006251A7">
              <w:rPr>
                <w:rFonts w:asciiTheme="minorHAnsi" w:hAnsiTheme="minorHAnsi" w:cstheme="minorHAnsi"/>
                <w:b/>
                <w:color w:val="FFFFFF"/>
                <w:spacing w:val="-10"/>
                <w:sz w:val="18"/>
                <w:szCs w:val="18"/>
              </w:rPr>
              <w:t>)</w:t>
            </w:r>
          </w:p>
        </w:tc>
        <w:tc>
          <w:tcPr>
            <w:tcW w:w="3296" w:type="dxa"/>
            <w:shd w:val="clear" w:color="auto" w:fill="3B7E32"/>
          </w:tcPr>
          <w:p w14:paraId="425B0EC7" w14:textId="77777777" w:rsidR="00301124" w:rsidRPr="006251A7" w:rsidRDefault="00D674FC" w:rsidP="00754FD1">
            <w:pPr>
              <w:pStyle w:val="TableParagraph"/>
              <w:keepLines/>
              <w:widowControl/>
              <w:spacing w:line="222" w:lineRule="exact"/>
              <w:ind w:right="2"/>
              <w:jc w:val="center"/>
              <w:rPr>
                <w:rFonts w:asciiTheme="minorHAnsi" w:hAnsiTheme="minorHAnsi" w:cstheme="minorHAnsi"/>
                <w:b/>
                <w:sz w:val="18"/>
                <w:szCs w:val="18"/>
              </w:rPr>
            </w:pPr>
            <w:r w:rsidRPr="006251A7">
              <w:rPr>
                <w:rFonts w:asciiTheme="minorHAnsi" w:hAnsiTheme="minorHAnsi" w:cstheme="minorHAnsi"/>
                <w:b/>
                <w:color w:val="FFFFFF"/>
                <w:spacing w:val="-2"/>
                <w:sz w:val="18"/>
                <w:szCs w:val="18"/>
              </w:rPr>
              <w:t>Discussion</w:t>
            </w:r>
          </w:p>
        </w:tc>
        <w:tc>
          <w:tcPr>
            <w:tcW w:w="4534" w:type="dxa"/>
            <w:vMerge/>
          </w:tcPr>
          <w:p w14:paraId="3A52CF18" w14:textId="77777777" w:rsidR="00301124" w:rsidRPr="006251A7" w:rsidRDefault="00301124" w:rsidP="00754FD1">
            <w:pPr>
              <w:keepLines/>
              <w:widowControl/>
              <w:rPr>
                <w:rFonts w:asciiTheme="minorHAnsi" w:hAnsiTheme="minorHAnsi" w:cstheme="minorHAnsi"/>
                <w:sz w:val="18"/>
                <w:szCs w:val="18"/>
              </w:rPr>
            </w:pPr>
          </w:p>
        </w:tc>
      </w:tr>
      <w:tr w:rsidR="00AB56BB" w:rsidRPr="006251A7" w14:paraId="693A73E4" w14:textId="77777777" w:rsidTr="2539CAE0">
        <w:tc>
          <w:tcPr>
            <w:tcW w:w="1945" w:type="dxa"/>
            <w:vMerge w:val="restart"/>
            <w:vAlign w:val="center"/>
          </w:tcPr>
          <w:p w14:paraId="4115A2A7" w14:textId="1E46E7E7" w:rsidR="00AB56BB" w:rsidRPr="006251A7" w:rsidRDefault="00AB56BB" w:rsidP="005448D6">
            <w:pPr>
              <w:pStyle w:val="TableParagraph"/>
              <w:keepLines/>
              <w:widowControl/>
              <w:spacing w:line="266" w:lineRule="auto"/>
              <w:ind w:left="60"/>
              <w:rPr>
                <w:rFonts w:asciiTheme="minorHAnsi" w:hAnsiTheme="minorHAnsi" w:cstheme="minorHAnsi"/>
                <w:b/>
                <w:sz w:val="18"/>
                <w:szCs w:val="18"/>
              </w:rPr>
            </w:pPr>
            <w:r w:rsidRPr="006251A7">
              <w:rPr>
                <w:rFonts w:asciiTheme="minorHAnsi" w:hAnsiTheme="minorHAnsi" w:cstheme="minorHAnsi"/>
                <w:b/>
                <w:sz w:val="18"/>
                <w:szCs w:val="18"/>
              </w:rPr>
              <w:t>Rate Reviews (typically biennial)</w:t>
            </w:r>
          </w:p>
        </w:tc>
        <w:tc>
          <w:tcPr>
            <w:tcW w:w="2217" w:type="dxa"/>
          </w:tcPr>
          <w:p w14:paraId="760DC957" w14:textId="3FEFD1A9" w:rsidR="00AB56BB" w:rsidRPr="006251A7" w:rsidRDefault="00AB56BB" w:rsidP="00754FD1">
            <w:pPr>
              <w:pStyle w:val="TableParagraph"/>
              <w:keepLines/>
              <w:widowControl/>
              <w:spacing w:before="98" w:line="232" w:lineRule="auto"/>
              <w:ind w:left="104" w:right="149"/>
              <w:rPr>
                <w:rFonts w:asciiTheme="minorHAnsi" w:hAnsiTheme="minorHAnsi" w:cstheme="minorHAnsi"/>
                <w:sz w:val="18"/>
                <w:szCs w:val="18"/>
              </w:rPr>
            </w:pPr>
            <w:r w:rsidRPr="006251A7">
              <w:rPr>
                <w:rFonts w:asciiTheme="minorHAnsi" w:hAnsiTheme="minorHAnsi" w:cstheme="minorHAnsi"/>
                <w:sz w:val="18"/>
                <w:szCs w:val="18"/>
              </w:rPr>
              <w:t>Forward-looking</w:t>
            </w:r>
          </w:p>
        </w:tc>
        <w:tc>
          <w:tcPr>
            <w:tcW w:w="971" w:type="dxa"/>
            <w:gridSpan w:val="2"/>
          </w:tcPr>
          <w:p w14:paraId="09F2054C" w14:textId="0858653F" w:rsidR="00AB56BB" w:rsidRPr="006251A7" w:rsidRDefault="00697598" w:rsidP="00754FD1">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0</w:t>
            </w:r>
          </w:p>
        </w:tc>
        <w:tc>
          <w:tcPr>
            <w:tcW w:w="3296" w:type="dxa"/>
          </w:tcPr>
          <w:p w14:paraId="24C1DD4C" w14:textId="77777777" w:rsidR="00AB56BB" w:rsidRPr="006251A7" w:rsidRDefault="00AB56BB" w:rsidP="00754FD1">
            <w:pPr>
              <w:pStyle w:val="TableParagraph"/>
              <w:keepLines/>
              <w:widowControl/>
              <w:rPr>
                <w:rFonts w:asciiTheme="minorHAnsi" w:hAnsiTheme="minorHAnsi" w:cstheme="minorHAnsi"/>
                <w:sz w:val="18"/>
                <w:szCs w:val="18"/>
              </w:rPr>
            </w:pPr>
          </w:p>
        </w:tc>
        <w:tc>
          <w:tcPr>
            <w:tcW w:w="4534" w:type="dxa"/>
          </w:tcPr>
          <w:p w14:paraId="3C53784A" w14:textId="77777777" w:rsidR="00AB56BB" w:rsidRPr="006251A7" w:rsidRDefault="00AB56BB" w:rsidP="00754FD1">
            <w:pPr>
              <w:pStyle w:val="TableParagraph"/>
              <w:keepLines/>
              <w:widowControl/>
              <w:rPr>
                <w:rFonts w:asciiTheme="minorHAnsi" w:hAnsiTheme="minorHAnsi" w:cstheme="minorHAnsi"/>
                <w:sz w:val="18"/>
                <w:szCs w:val="18"/>
              </w:rPr>
            </w:pPr>
          </w:p>
        </w:tc>
      </w:tr>
      <w:tr w:rsidR="00AB56BB" w:rsidRPr="006251A7" w14:paraId="6CCC7BB6" w14:textId="77777777" w:rsidTr="2539CAE0">
        <w:tc>
          <w:tcPr>
            <w:tcW w:w="1945" w:type="dxa"/>
            <w:vMerge/>
          </w:tcPr>
          <w:p w14:paraId="1D6A26E7" w14:textId="77777777" w:rsidR="00AB56BB" w:rsidRPr="006251A7" w:rsidRDefault="00AB56BB" w:rsidP="005448D6">
            <w:pPr>
              <w:pStyle w:val="TableParagraph"/>
              <w:keepLines/>
              <w:widowControl/>
              <w:spacing w:line="266" w:lineRule="auto"/>
              <w:ind w:left="60"/>
              <w:rPr>
                <w:rFonts w:asciiTheme="minorHAnsi" w:hAnsiTheme="minorHAnsi" w:cstheme="minorHAnsi"/>
                <w:b/>
                <w:sz w:val="18"/>
                <w:szCs w:val="18"/>
              </w:rPr>
            </w:pPr>
          </w:p>
        </w:tc>
        <w:tc>
          <w:tcPr>
            <w:tcW w:w="2217" w:type="dxa"/>
          </w:tcPr>
          <w:p w14:paraId="0C633161" w14:textId="1A01DA02" w:rsidR="00AB56BB" w:rsidRPr="006251A7" w:rsidRDefault="00AB56BB" w:rsidP="00754FD1">
            <w:pPr>
              <w:pStyle w:val="TableParagraph"/>
              <w:keepLines/>
              <w:widowControl/>
              <w:spacing w:before="98" w:line="232" w:lineRule="auto"/>
              <w:ind w:left="104" w:right="149"/>
              <w:rPr>
                <w:rFonts w:asciiTheme="minorHAnsi" w:hAnsiTheme="minorHAnsi" w:cstheme="minorHAnsi"/>
                <w:sz w:val="18"/>
                <w:szCs w:val="18"/>
              </w:rPr>
            </w:pPr>
            <w:r w:rsidRPr="006251A7">
              <w:rPr>
                <w:rFonts w:asciiTheme="minorHAnsi" w:hAnsiTheme="minorHAnsi" w:cstheme="minorHAnsi"/>
                <w:sz w:val="18"/>
                <w:szCs w:val="18"/>
              </w:rPr>
              <w:t xml:space="preserve">Backwards-looking (w/ earnings adjustments) </w:t>
            </w:r>
          </w:p>
        </w:tc>
        <w:tc>
          <w:tcPr>
            <w:tcW w:w="971" w:type="dxa"/>
            <w:gridSpan w:val="2"/>
          </w:tcPr>
          <w:p w14:paraId="546A1853" w14:textId="6692E129" w:rsidR="00AB56BB" w:rsidRPr="006251A7" w:rsidRDefault="00697598" w:rsidP="00754FD1">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0</w:t>
            </w:r>
          </w:p>
        </w:tc>
        <w:tc>
          <w:tcPr>
            <w:tcW w:w="3296" w:type="dxa"/>
          </w:tcPr>
          <w:p w14:paraId="053409F0" w14:textId="77777777" w:rsidR="00AB56BB" w:rsidRPr="006251A7" w:rsidRDefault="00AB56BB" w:rsidP="00754FD1">
            <w:pPr>
              <w:pStyle w:val="TableParagraph"/>
              <w:keepLines/>
              <w:widowControl/>
              <w:rPr>
                <w:rFonts w:asciiTheme="minorHAnsi" w:hAnsiTheme="minorHAnsi" w:cstheme="minorHAnsi"/>
                <w:sz w:val="18"/>
                <w:szCs w:val="18"/>
              </w:rPr>
            </w:pPr>
          </w:p>
        </w:tc>
        <w:tc>
          <w:tcPr>
            <w:tcW w:w="4534" w:type="dxa"/>
          </w:tcPr>
          <w:p w14:paraId="386DF13D" w14:textId="77777777" w:rsidR="00AB56BB" w:rsidRPr="006251A7" w:rsidRDefault="00AB56BB" w:rsidP="00754FD1">
            <w:pPr>
              <w:pStyle w:val="TableParagraph"/>
              <w:keepLines/>
              <w:widowControl/>
              <w:rPr>
                <w:rFonts w:asciiTheme="minorHAnsi" w:hAnsiTheme="minorHAnsi" w:cstheme="minorHAnsi"/>
                <w:sz w:val="18"/>
                <w:szCs w:val="18"/>
              </w:rPr>
            </w:pPr>
          </w:p>
        </w:tc>
      </w:tr>
      <w:tr w:rsidR="00D53C09" w:rsidRPr="006251A7" w14:paraId="694F2E9D" w14:textId="77777777" w:rsidTr="2539CAE0">
        <w:trPr>
          <w:trHeight w:val="302"/>
        </w:trPr>
        <w:tc>
          <w:tcPr>
            <w:tcW w:w="1945" w:type="dxa"/>
            <w:vAlign w:val="center"/>
          </w:tcPr>
          <w:p w14:paraId="74C1A3B5" w14:textId="41EC9DD7" w:rsidR="00D53C09" w:rsidRPr="006251A7" w:rsidRDefault="00D53C09" w:rsidP="00D53C09">
            <w:pPr>
              <w:pStyle w:val="TableParagraph"/>
              <w:keepLines/>
              <w:widowControl/>
              <w:spacing w:line="266" w:lineRule="auto"/>
              <w:ind w:left="60"/>
              <w:rPr>
                <w:rFonts w:asciiTheme="minorHAnsi" w:hAnsiTheme="minorHAnsi" w:cstheme="minorHAnsi"/>
                <w:b/>
                <w:sz w:val="18"/>
                <w:szCs w:val="18"/>
              </w:rPr>
            </w:pPr>
            <w:r w:rsidRPr="006251A7">
              <w:rPr>
                <w:rFonts w:asciiTheme="minorHAnsi" w:hAnsiTheme="minorHAnsi" w:cstheme="minorHAnsi"/>
                <w:b/>
                <w:sz w:val="18"/>
                <w:szCs w:val="18"/>
              </w:rPr>
              <w:lastRenderedPageBreak/>
              <w:t>ROE Determinations</w:t>
            </w:r>
          </w:p>
        </w:tc>
        <w:tc>
          <w:tcPr>
            <w:tcW w:w="2217" w:type="dxa"/>
          </w:tcPr>
          <w:p w14:paraId="43B25263" w14:textId="77777777" w:rsidR="00D53C09" w:rsidRPr="006251A7" w:rsidRDefault="00D53C09" w:rsidP="00D53C09">
            <w:pPr>
              <w:pStyle w:val="TableParagraph"/>
              <w:keepLines/>
              <w:widowControl/>
              <w:spacing w:before="98" w:line="232" w:lineRule="auto"/>
              <w:ind w:left="104" w:right="149"/>
              <w:rPr>
                <w:rFonts w:asciiTheme="minorHAnsi" w:hAnsiTheme="minorHAnsi" w:cstheme="minorHAnsi"/>
                <w:sz w:val="18"/>
                <w:szCs w:val="18"/>
              </w:rPr>
            </w:pPr>
          </w:p>
        </w:tc>
        <w:tc>
          <w:tcPr>
            <w:tcW w:w="971" w:type="dxa"/>
            <w:gridSpan w:val="2"/>
          </w:tcPr>
          <w:p w14:paraId="2B0F6EB7" w14:textId="0D74F2F6" w:rsidR="00D53C09" w:rsidRPr="006251A7" w:rsidRDefault="00D53C09" w:rsidP="00D53C09">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w:t>
            </w:r>
          </w:p>
        </w:tc>
        <w:tc>
          <w:tcPr>
            <w:tcW w:w="3296" w:type="dxa"/>
          </w:tcPr>
          <w:p w14:paraId="0A1738A7" w14:textId="5A7ED268" w:rsidR="00D53C09" w:rsidRPr="006251A7" w:rsidRDefault="00D53C09" w:rsidP="00D53C09">
            <w:pPr>
              <w:pStyle w:val="TableParagraph"/>
              <w:keepLines/>
              <w:widowControl/>
              <w:rPr>
                <w:rFonts w:asciiTheme="minorHAnsi" w:hAnsiTheme="minorHAnsi" w:cstheme="minorHAnsi"/>
                <w:sz w:val="18"/>
                <w:szCs w:val="18"/>
              </w:rPr>
            </w:pPr>
          </w:p>
        </w:tc>
        <w:tc>
          <w:tcPr>
            <w:tcW w:w="4534" w:type="dxa"/>
          </w:tcPr>
          <w:p w14:paraId="37E50DCC" w14:textId="03A69171" w:rsidR="00D53C09" w:rsidRPr="006251A7" w:rsidRDefault="00D53C09" w:rsidP="00D53C09">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Electric utilities are not subject to the</w:t>
            </w:r>
            <w:r w:rsidR="00C62A98" w:rsidRPr="006251A7">
              <w:rPr>
                <w:rFonts w:asciiTheme="minorHAnsi" w:hAnsiTheme="minorHAnsi" w:cstheme="minorHAnsi"/>
                <w:sz w:val="18"/>
                <w:szCs w:val="18"/>
              </w:rPr>
              <w:t xml:space="preserve"> revenue adjustment </w:t>
            </w:r>
            <w:r w:rsidRPr="006251A7">
              <w:rPr>
                <w:rFonts w:asciiTheme="minorHAnsi" w:hAnsiTheme="minorHAnsi" w:cstheme="minorHAnsi"/>
                <w:sz w:val="18"/>
                <w:szCs w:val="18"/>
              </w:rPr>
              <w:t xml:space="preserve"> decoupling mechanism that can help to address the throughput incentive that disincentivizes reducing demand through energy efficiency initiatives. When authorized revenue and profit are set, electric utilities are still driven to increase sales to create profit within range of those revenue requirements</w:t>
            </w:r>
            <w:r w:rsidR="00C62A98" w:rsidRPr="006251A7">
              <w:rPr>
                <w:rFonts w:asciiTheme="minorHAnsi" w:hAnsiTheme="minorHAnsi" w:cstheme="minorHAnsi"/>
                <w:sz w:val="18"/>
                <w:szCs w:val="18"/>
              </w:rPr>
              <w:t xml:space="preserve"> even with current earnings sharing requirements</w:t>
            </w:r>
            <w:r w:rsidRPr="006251A7">
              <w:rPr>
                <w:rFonts w:asciiTheme="minorHAnsi" w:hAnsiTheme="minorHAnsi" w:cstheme="minorHAnsi"/>
                <w:sz w:val="18"/>
                <w:szCs w:val="18"/>
              </w:rPr>
              <w:t xml:space="preserve">. </w:t>
            </w:r>
            <w:r w:rsidR="00C62A98" w:rsidRPr="006251A7">
              <w:rPr>
                <w:rFonts w:asciiTheme="minorHAnsi" w:hAnsiTheme="minorHAnsi" w:cstheme="minorHAnsi"/>
                <w:sz w:val="18"/>
                <w:szCs w:val="18"/>
              </w:rPr>
              <w:t>The existing throughput incentive</w:t>
            </w:r>
            <w:r w:rsidRPr="006251A7">
              <w:rPr>
                <w:rFonts w:asciiTheme="minorHAnsi" w:hAnsiTheme="minorHAnsi" w:cstheme="minorHAnsi"/>
                <w:sz w:val="18"/>
                <w:szCs w:val="18"/>
              </w:rPr>
              <w:t xml:space="preserve"> disincentivizes the maximization of savings for customers through energy efficiency initiatives. </w:t>
            </w:r>
          </w:p>
        </w:tc>
      </w:tr>
      <w:tr w:rsidR="005C18AB" w:rsidRPr="006251A7" w14:paraId="170FBB0C" w14:textId="77777777" w:rsidTr="2539CAE0">
        <w:tc>
          <w:tcPr>
            <w:tcW w:w="1945" w:type="dxa"/>
            <w:vMerge w:val="restart"/>
            <w:vAlign w:val="center"/>
          </w:tcPr>
          <w:p w14:paraId="249EE327" w14:textId="5BA8B0E5" w:rsidR="005C18AB" w:rsidRPr="006251A7" w:rsidRDefault="005C18AB" w:rsidP="00D53C09">
            <w:pPr>
              <w:pStyle w:val="TableParagraph"/>
              <w:keepLines/>
              <w:widowControl/>
              <w:spacing w:line="268" w:lineRule="auto"/>
              <w:ind w:left="60"/>
              <w:rPr>
                <w:rFonts w:asciiTheme="minorHAnsi" w:hAnsiTheme="minorHAnsi" w:cstheme="minorHAnsi"/>
                <w:b/>
                <w:spacing w:val="-2"/>
                <w:sz w:val="18"/>
                <w:szCs w:val="18"/>
              </w:rPr>
            </w:pPr>
            <w:r w:rsidRPr="006251A7">
              <w:rPr>
                <w:rFonts w:asciiTheme="minorHAnsi" w:hAnsiTheme="minorHAnsi" w:cstheme="minorHAnsi"/>
                <w:b/>
                <w:spacing w:val="-2"/>
                <w:sz w:val="18"/>
                <w:szCs w:val="18"/>
              </w:rPr>
              <w:t>Rate Adjustment Clauses (i.e., trackers)</w:t>
            </w:r>
          </w:p>
        </w:tc>
        <w:tc>
          <w:tcPr>
            <w:tcW w:w="2217" w:type="dxa"/>
          </w:tcPr>
          <w:p w14:paraId="7E7D0C88" w14:textId="62389B6E" w:rsidR="005C18AB" w:rsidRPr="006251A7" w:rsidRDefault="005C18AB" w:rsidP="005C18AB">
            <w:pPr>
              <w:pStyle w:val="NormalWeb"/>
              <w:ind w:left="104"/>
              <w:rPr>
                <w:rFonts w:asciiTheme="minorHAnsi" w:hAnsiTheme="minorHAnsi" w:cstheme="minorHAnsi"/>
                <w:sz w:val="18"/>
                <w:szCs w:val="18"/>
              </w:rPr>
            </w:pPr>
            <w:r w:rsidRPr="006251A7">
              <w:rPr>
                <w:rFonts w:asciiTheme="minorHAnsi" w:hAnsiTheme="minorHAnsi" w:cstheme="minorHAnsi"/>
                <w:color w:val="000000"/>
                <w:sz w:val="18"/>
                <w:szCs w:val="18"/>
              </w:rPr>
              <w:t>RACs overall (general assessment of the use of RACs)</w:t>
            </w:r>
          </w:p>
        </w:tc>
        <w:tc>
          <w:tcPr>
            <w:tcW w:w="971" w:type="dxa"/>
            <w:gridSpan w:val="2"/>
          </w:tcPr>
          <w:p w14:paraId="1E56B48B" w14:textId="14013946" w:rsidR="005C18AB" w:rsidRPr="006251A7" w:rsidRDefault="005C18AB" w:rsidP="00D53C09">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w:t>
            </w:r>
          </w:p>
        </w:tc>
        <w:tc>
          <w:tcPr>
            <w:tcW w:w="3296" w:type="dxa"/>
          </w:tcPr>
          <w:p w14:paraId="7F590B23" w14:textId="7F01115F" w:rsidR="005C18AB" w:rsidRPr="006251A7" w:rsidRDefault="00984445" w:rsidP="00D53C09">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 xml:space="preserve">RACs provide accelerated recovery of various capital and program costs that would otherwise go into the base rates. </w:t>
            </w:r>
            <w:r w:rsidR="005C18AB" w:rsidRPr="006251A7">
              <w:rPr>
                <w:rFonts w:asciiTheme="minorHAnsi" w:hAnsiTheme="minorHAnsi" w:cstheme="minorHAnsi"/>
                <w:sz w:val="18"/>
                <w:szCs w:val="18"/>
              </w:rPr>
              <w:t>Over the last several years since re-regulation in the state</w:t>
            </w:r>
            <w:r w:rsidR="005B75BF" w:rsidRPr="006251A7">
              <w:rPr>
                <w:rFonts w:asciiTheme="minorHAnsi" w:hAnsiTheme="minorHAnsi" w:cstheme="minorHAnsi"/>
                <w:sz w:val="18"/>
                <w:szCs w:val="18"/>
              </w:rPr>
              <w:t>,</w:t>
            </w:r>
            <w:r w:rsidR="005C18AB" w:rsidRPr="006251A7">
              <w:rPr>
                <w:rFonts w:asciiTheme="minorHAnsi" w:hAnsiTheme="minorHAnsi" w:cstheme="minorHAnsi"/>
                <w:sz w:val="18"/>
                <w:szCs w:val="18"/>
              </w:rPr>
              <w:t xml:space="preserve"> “riders”, “cost trackers” or “RACs” as they are referred to are main drivers of energy consumers bill increases and</w:t>
            </w:r>
            <w:r w:rsidRPr="006251A7">
              <w:rPr>
                <w:rFonts w:asciiTheme="minorHAnsi" w:hAnsiTheme="minorHAnsi" w:cstheme="minorHAnsi"/>
                <w:sz w:val="18"/>
                <w:szCs w:val="18"/>
              </w:rPr>
              <w:t xml:space="preserve"> “drastically”</w:t>
            </w:r>
            <w:r w:rsidR="005C18AB" w:rsidRPr="006251A7">
              <w:rPr>
                <w:rFonts w:asciiTheme="minorHAnsi" w:hAnsiTheme="minorHAnsi" w:cstheme="minorHAnsi"/>
                <w:sz w:val="18"/>
                <w:szCs w:val="18"/>
              </w:rPr>
              <w:t xml:space="preserve"> limit the amount of savings customers would otherwise be able to achieve through individual or utility-related energy efficiency investments for lowering energy costs and decarbonization.</w:t>
            </w:r>
            <w:r w:rsidRPr="006251A7">
              <w:rPr>
                <w:rFonts w:asciiTheme="minorHAnsi" w:hAnsiTheme="minorHAnsi" w:cstheme="minorHAnsi"/>
                <w:sz w:val="18"/>
                <w:szCs w:val="18"/>
              </w:rPr>
              <w:t xml:space="preserve"> As discussed by SCC, basically 50% of utility costs are financed through these on-bill surcharges, which are passed onto customers so utilities can</w:t>
            </w:r>
            <w:r w:rsidR="006225BE">
              <w:rPr>
                <w:rFonts w:asciiTheme="minorHAnsi" w:hAnsiTheme="minorHAnsi" w:cstheme="minorHAnsi"/>
                <w:sz w:val="18"/>
                <w:szCs w:val="18"/>
              </w:rPr>
              <w:t xml:space="preserve"> have accelerated</w:t>
            </w:r>
            <w:r w:rsidRPr="006251A7">
              <w:rPr>
                <w:rFonts w:asciiTheme="minorHAnsi" w:hAnsiTheme="minorHAnsi" w:cstheme="minorHAnsi"/>
                <w:sz w:val="18"/>
                <w:szCs w:val="18"/>
              </w:rPr>
              <w:t xml:space="preserve"> recover</w:t>
            </w:r>
            <w:r w:rsidR="006225BE">
              <w:rPr>
                <w:rFonts w:asciiTheme="minorHAnsi" w:hAnsiTheme="minorHAnsi" w:cstheme="minorHAnsi"/>
                <w:sz w:val="18"/>
                <w:szCs w:val="18"/>
              </w:rPr>
              <w:t>y</w:t>
            </w:r>
            <w:r w:rsidRPr="006251A7">
              <w:rPr>
                <w:rFonts w:asciiTheme="minorHAnsi" w:hAnsiTheme="minorHAnsi" w:cstheme="minorHAnsi"/>
                <w:sz w:val="18"/>
                <w:szCs w:val="18"/>
              </w:rPr>
              <w:t xml:space="preserve"> their costs of service with a profit. There is </w:t>
            </w:r>
            <w:r w:rsidR="006225BE" w:rsidRPr="006251A7">
              <w:rPr>
                <w:rFonts w:asciiTheme="minorHAnsi" w:hAnsiTheme="minorHAnsi" w:cstheme="minorHAnsi"/>
                <w:sz w:val="18"/>
                <w:szCs w:val="18"/>
              </w:rPr>
              <w:t>a much</w:t>
            </w:r>
            <w:r w:rsidRPr="006251A7">
              <w:rPr>
                <w:rFonts w:asciiTheme="minorHAnsi" w:hAnsiTheme="minorHAnsi" w:cstheme="minorHAnsi"/>
                <w:sz w:val="18"/>
                <w:szCs w:val="18"/>
              </w:rPr>
              <w:t xml:space="preserve"> more positive financial incentive for utilities to seek financing capital projects through RACs to meet energy demand than compared to the financial performance incentives included in the states EERS</w:t>
            </w:r>
            <w:r w:rsidR="00F873AC" w:rsidRPr="006251A7">
              <w:rPr>
                <w:rFonts w:asciiTheme="minorHAnsi" w:hAnsiTheme="minorHAnsi" w:cstheme="minorHAnsi"/>
                <w:sz w:val="18"/>
                <w:szCs w:val="18"/>
              </w:rPr>
              <w:t>.</w:t>
            </w:r>
          </w:p>
        </w:tc>
        <w:tc>
          <w:tcPr>
            <w:tcW w:w="4534" w:type="dxa"/>
          </w:tcPr>
          <w:p w14:paraId="160D4B55" w14:textId="0A259408" w:rsidR="005C18AB" w:rsidRPr="006251A7" w:rsidRDefault="00984445" w:rsidP="00D53C09">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 xml:space="preserve"> To ensure that customers are able to maximize the energy efficiency measures at their disposal to reduce their energy costs and support decarbonization by reducing overall demand - it is critical for the SCC to reduce the number of RACs that electric utilities have accumulated and roll those RACs into base rates</w:t>
            </w:r>
            <w:r w:rsidR="007817B5" w:rsidRPr="006251A7">
              <w:rPr>
                <w:rFonts w:asciiTheme="minorHAnsi" w:hAnsiTheme="minorHAnsi" w:cstheme="minorHAnsi"/>
                <w:sz w:val="18"/>
                <w:szCs w:val="18"/>
              </w:rPr>
              <w:t xml:space="preserve">. The SCC should also consider </w:t>
            </w:r>
            <w:r w:rsidR="006225BE" w:rsidRPr="006251A7">
              <w:rPr>
                <w:rFonts w:asciiTheme="minorHAnsi" w:hAnsiTheme="minorHAnsi" w:cstheme="minorHAnsi"/>
                <w:sz w:val="18"/>
                <w:szCs w:val="18"/>
              </w:rPr>
              <w:t>a strong</w:t>
            </w:r>
            <w:r w:rsidR="007817B5" w:rsidRPr="006251A7">
              <w:rPr>
                <w:rFonts w:asciiTheme="minorHAnsi" w:hAnsiTheme="minorHAnsi" w:cstheme="minorHAnsi"/>
                <w:sz w:val="18"/>
                <w:szCs w:val="18"/>
              </w:rPr>
              <w:t xml:space="preserve"> threshold with very specific criteria for the approval of any  proposed RACs going-forward to abate energy savings provided by energy efficiency or other alternative and performance regulations being undercut or completely diminished by status quo expenditure of numerous capital expenses through generation RACs between utility rate cases.</w:t>
            </w:r>
            <w:r w:rsidRPr="006251A7">
              <w:rPr>
                <w:rFonts w:asciiTheme="minorHAnsi" w:hAnsiTheme="minorHAnsi" w:cstheme="minorHAnsi"/>
                <w:sz w:val="18"/>
                <w:szCs w:val="18"/>
              </w:rPr>
              <w:t xml:space="preserve"> </w:t>
            </w:r>
            <w:r w:rsidR="00F40FD0" w:rsidRPr="006251A7">
              <w:rPr>
                <w:rFonts w:asciiTheme="minorHAnsi" w:hAnsiTheme="minorHAnsi" w:cstheme="minorHAnsi"/>
                <w:sz w:val="18"/>
                <w:szCs w:val="18"/>
              </w:rPr>
              <w:t>Some RAC reform policy approaches include, but are not limited to limitations on the rate impact of RACs, filling and legislative requirements, expectations to conduct consumer impact analyses per RAC, on-bill rider comparisons, retiring approved RACs into base rates, special evaluation procedures for RACs, as well as rate analyst publications from the utility regulator.</w:t>
            </w:r>
          </w:p>
        </w:tc>
      </w:tr>
      <w:tr w:rsidR="009532CB" w:rsidRPr="006251A7" w14:paraId="62C30801" w14:textId="77777777" w:rsidTr="2539CAE0">
        <w:tc>
          <w:tcPr>
            <w:tcW w:w="1945" w:type="dxa"/>
            <w:vMerge/>
            <w:vAlign w:val="center"/>
          </w:tcPr>
          <w:p w14:paraId="700CACCA" w14:textId="77777777" w:rsidR="009532CB" w:rsidRPr="006251A7" w:rsidRDefault="009532CB" w:rsidP="00D53C09">
            <w:pPr>
              <w:pStyle w:val="TableParagraph"/>
              <w:keepLines/>
              <w:widowControl/>
              <w:spacing w:line="268" w:lineRule="auto"/>
              <w:ind w:left="60"/>
              <w:rPr>
                <w:rFonts w:asciiTheme="minorHAnsi" w:hAnsiTheme="minorHAnsi" w:cstheme="minorHAnsi"/>
                <w:b/>
                <w:sz w:val="18"/>
                <w:szCs w:val="18"/>
              </w:rPr>
            </w:pPr>
          </w:p>
        </w:tc>
        <w:tc>
          <w:tcPr>
            <w:tcW w:w="2217" w:type="dxa"/>
          </w:tcPr>
          <w:p w14:paraId="314DA3B1" w14:textId="618F4193" w:rsidR="009532CB" w:rsidRPr="006251A7" w:rsidRDefault="009532CB" w:rsidP="00D53C09">
            <w:pPr>
              <w:pStyle w:val="TableParagraph"/>
              <w:keepLines/>
              <w:widowControl/>
              <w:spacing w:line="207" w:lineRule="exact"/>
              <w:ind w:left="104"/>
              <w:rPr>
                <w:rFonts w:asciiTheme="minorHAnsi" w:hAnsiTheme="minorHAnsi" w:cstheme="minorHAnsi"/>
                <w:sz w:val="18"/>
                <w:szCs w:val="18"/>
              </w:rPr>
            </w:pPr>
            <w:r w:rsidRPr="006251A7">
              <w:rPr>
                <w:rFonts w:asciiTheme="minorHAnsi" w:hAnsiTheme="minorHAnsi" w:cstheme="minorHAnsi"/>
                <w:sz w:val="18"/>
                <w:szCs w:val="18"/>
              </w:rPr>
              <w:t>Fuel cost recovery</w:t>
            </w:r>
          </w:p>
        </w:tc>
        <w:tc>
          <w:tcPr>
            <w:tcW w:w="971" w:type="dxa"/>
            <w:gridSpan w:val="2"/>
          </w:tcPr>
          <w:p w14:paraId="0A8D7CC5" w14:textId="4FD3855C" w:rsidR="009532CB" w:rsidRPr="006251A7" w:rsidRDefault="009532CB" w:rsidP="00D53C09">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w:t>
            </w:r>
          </w:p>
        </w:tc>
        <w:tc>
          <w:tcPr>
            <w:tcW w:w="3296" w:type="dxa"/>
          </w:tcPr>
          <w:p w14:paraId="70F83F45" w14:textId="182CFE06" w:rsidR="009532CB" w:rsidRPr="006251A7" w:rsidRDefault="009532CB" w:rsidP="00D53C09">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Fuel costs are 100% passed through to customers, there are not any positive</w:t>
            </w:r>
            <w:r w:rsidR="008A07E8">
              <w:rPr>
                <w:rFonts w:asciiTheme="minorHAnsi" w:hAnsiTheme="minorHAnsi" w:cstheme="minorHAnsi"/>
                <w:sz w:val="18"/>
                <w:szCs w:val="18"/>
              </w:rPr>
              <w:t xml:space="preserve"> incentives</w:t>
            </w:r>
            <w:r w:rsidRPr="006251A7">
              <w:rPr>
                <w:rFonts w:asciiTheme="minorHAnsi" w:hAnsiTheme="minorHAnsi" w:cstheme="minorHAnsi"/>
                <w:sz w:val="18"/>
                <w:szCs w:val="18"/>
              </w:rPr>
              <w:t xml:space="preserve"> or negative </w:t>
            </w:r>
            <w:r w:rsidR="008A07E8">
              <w:rPr>
                <w:rFonts w:asciiTheme="minorHAnsi" w:hAnsiTheme="minorHAnsi" w:cstheme="minorHAnsi"/>
                <w:sz w:val="18"/>
                <w:szCs w:val="18"/>
              </w:rPr>
              <w:t>disincentives</w:t>
            </w:r>
            <w:r w:rsidRPr="006251A7">
              <w:rPr>
                <w:rFonts w:asciiTheme="minorHAnsi" w:hAnsiTheme="minorHAnsi" w:cstheme="minorHAnsi"/>
                <w:sz w:val="18"/>
                <w:szCs w:val="18"/>
              </w:rPr>
              <w:t xml:space="preserve"> for utilities to make more cost-effective fuel investments </w:t>
            </w:r>
            <w:r w:rsidR="00C64AAF">
              <w:rPr>
                <w:rFonts w:asciiTheme="minorHAnsi" w:hAnsiTheme="minorHAnsi" w:cstheme="minorHAnsi"/>
                <w:sz w:val="18"/>
                <w:szCs w:val="18"/>
              </w:rPr>
              <w:t>for</w:t>
            </w:r>
            <w:r w:rsidRPr="006251A7">
              <w:rPr>
                <w:rFonts w:asciiTheme="minorHAnsi" w:hAnsiTheme="minorHAnsi" w:cstheme="minorHAnsi"/>
                <w:sz w:val="18"/>
                <w:szCs w:val="18"/>
              </w:rPr>
              <w:t xml:space="preserve"> power generation facilities or utilize energy efficiency investments to help meet energy demand with more financial prudence.  </w:t>
            </w:r>
          </w:p>
        </w:tc>
        <w:tc>
          <w:tcPr>
            <w:tcW w:w="4534" w:type="dxa"/>
          </w:tcPr>
          <w:p w14:paraId="7EA0329F" w14:textId="79999635" w:rsidR="009532CB" w:rsidRPr="006251A7" w:rsidRDefault="009532CB" w:rsidP="00D53C09">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 xml:space="preserve">Fuel </w:t>
            </w:r>
            <w:r w:rsidR="00C64AAF" w:rsidRPr="006251A7">
              <w:rPr>
                <w:rFonts w:asciiTheme="minorHAnsi" w:hAnsiTheme="minorHAnsi" w:cstheme="minorHAnsi"/>
                <w:sz w:val="18"/>
                <w:szCs w:val="18"/>
              </w:rPr>
              <w:t>cost</w:t>
            </w:r>
            <w:r w:rsidRPr="006251A7">
              <w:rPr>
                <w:rFonts w:asciiTheme="minorHAnsi" w:hAnsiTheme="minorHAnsi" w:cstheme="minorHAnsi"/>
                <w:sz w:val="18"/>
                <w:szCs w:val="18"/>
              </w:rPr>
              <w:t xml:space="preserve"> sharing</w:t>
            </w:r>
            <w:r w:rsidR="00C64AAF">
              <w:rPr>
                <w:rFonts w:asciiTheme="minorHAnsi" w:hAnsiTheme="minorHAnsi" w:cstheme="minorHAnsi"/>
                <w:sz w:val="18"/>
                <w:szCs w:val="18"/>
              </w:rPr>
              <w:t xml:space="preserve"> between customers and electric utilities</w:t>
            </w:r>
            <w:r w:rsidRPr="006251A7">
              <w:rPr>
                <w:rFonts w:asciiTheme="minorHAnsi" w:hAnsiTheme="minorHAnsi" w:cstheme="minorHAnsi"/>
                <w:sz w:val="18"/>
                <w:szCs w:val="18"/>
              </w:rPr>
              <w:t xml:space="preserve"> is an approach some states utilize to encourage utilities to make more cost-effective and climate-sensitive investments in fuel. </w:t>
            </w:r>
          </w:p>
        </w:tc>
      </w:tr>
      <w:tr w:rsidR="005C18AB" w:rsidRPr="006251A7" w14:paraId="0128EF7A" w14:textId="77777777" w:rsidTr="2539CAE0">
        <w:tc>
          <w:tcPr>
            <w:tcW w:w="1945" w:type="dxa"/>
            <w:vMerge/>
            <w:vAlign w:val="center"/>
          </w:tcPr>
          <w:p w14:paraId="027CD6D6" w14:textId="1369C49F" w:rsidR="005C18AB" w:rsidRPr="006251A7" w:rsidRDefault="005C18AB" w:rsidP="00D53C09">
            <w:pPr>
              <w:pStyle w:val="TableParagraph"/>
              <w:keepLines/>
              <w:widowControl/>
              <w:spacing w:line="268" w:lineRule="auto"/>
              <w:ind w:left="60"/>
              <w:rPr>
                <w:rFonts w:asciiTheme="minorHAnsi" w:hAnsiTheme="minorHAnsi" w:cstheme="minorHAnsi"/>
                <w:b/>
                <w:sz w:val="18"/>
                <w:szCs w:val="18"/>
              </w:rPr>
            </w:pPr>
          </w:p>
        </w:tc>
        <w:tc>
          <w:tcPr>
            <w:tcW w:w="2217" w:type="dxa"/>
          </w:tcPr>
          <w:p w14:paraId="66BE56D8" w14:textId="0F7B5E51" w:rsidR="005C18AB" w:rsidRPr="006251A7" w:rsidRDefault="005C18AB" w:rsidP="00D53C09">
            <w:pPr>
              <w:pStyle w:val="TableParagraph"/>
              <w:keepLines/>
              <w:widowControl/>
              <w:spacing w:line="207" w:lineRule="exact"/>
              <w:ind w:left="104"/>
              <w:rPr>
                <w:rFonts w:asciiTheme="minorHAnsi" w:hAnsiTheme="minorHAnsi" w:cstheme="minorHAnsi"/>
                <w:sz w:val="18"/>
                <w:szCs w:val="18"/>
              </w:rPr>
            </w:pPr>
            <w:r w:rsidRPr="006251A7">
              <w:rPr>
                <w:rFonts w:asciiTheme="minorHAnsi" w:hAnsiTheme="minorHAnsi" w:cstheme="minorHAnsi"/>
                <w:sz w:val="18"/>
                <w:szCs w:val="18"/>
              </w:rPr>
              <w:t>Purchased power</w:t>
            </w:r>
          </w:p>
        </w:tc>
        <w:tc>
          <w:tcPr>
            <w:tcW w:w="971" w:type="dxa"/>
            <w:gridSpan w:val="2"/>
          </w:tcPr>
          <w:p w14:paraId="2F169326" w14:textId="3119CA10" w:rsidR="0003307B" w:rsidRPr="006251A7" w:rsidRDefault="0003307B" w:rsidP="00D53C09">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0/-/+</w:t>
            </w:r>
          </w:p>
        </w:tc>
        <w:tc>
          <w:tcPr>
            <w:tcW w:w="3296" w:type="dxa"/>
          </w:tcPr>
          <w:p w14:paraId="1017D892" w14:textId="213BE026" w:rsidR="005C18AB" w:rsidRPr="006251A7" w:rsidRDefault="002D7E5D" w:rsidP="00D53C09">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Beyond statutory procurement requirements for purchased power that is renewable</w:t>
            </w:r>
            <w:r w:rsidR="00C645AF" w:rsidRPr="006251A7">
              <w:rPr>
                <w:rFonts w:asciiTheme="minorHAnsi" w:hAnsiTheme="minorHAnsi" w:cstheme="minorHAnsi"/>
                <w:sz w:val="18"/>
                <w:szCs w:val="18"/>
              </w:rPr>
              <w:t xml:space="preserve"> (not fuel-based)</w:t>
            </w:r>
            <w:r w:rsidRPr="006251A7">
              <w:rPr>
                <w:rFonts w:asciiTheme="minorHAnsi" w:hAnsiTheme="minorHAnsi" w:cstheme="minorHAnsi"/>
                <w:sz w:val="18"/>
                <w:szCs w:val="18"/>
              </w:rPr>
              <w:t xml:space="preserve"> and energy efficiency investments, p</w:t>
            </w:r>
            <w:r w:rsidR="008F3A1C" w:rsidRPr="006251A7">
              <w:rPr>
                <w:rFonts w:asciiTheme="minorHAnsi" w:hAnsiTheme="minorHAnsi" w:cstheme="minorHAnsi"/>
                <w:sz w:val="18"/>
                <w:szCs w:val="18"/>
              </w:rPr>
              <w:t xml:space="preserve">urchased power and energy efficiency </w:t>
            </w:r>
            <w:r w:rsidR="00C645AF" w:rsidRPr="006251A7">
              <w:rPr>
                <w:rFonts w:asciiTheme="minorHAnsi" w:hAnsiTheme="minorHAnsi" w:cstheme="minorHAnsi"/>
                <w:sz w:val="18"/>
                <w:szCs w:val="18"/>
              </w:rPr>
              <w:t>investments</w:t>
            </w:r>
            <w:r w:rsidR="008F3A1C" w:rsidRPr="006251A7">
              <w:rPr>
                <w:rFonts w:asciiTheme="minorHAnsi" w:hAnsiTheme="minorHAnsi" w:cstheme="minorHAnsi"/>
                <w:sz w:val="18"/>
                <w:szCs w:val="18"/>
              </w:rPr>
              <w:t xml:space="preserve"> are in competition as resources for meeting existing or forecasted growth in energy demand. </w:t>
            </w:r>
          </w:p>
        </w:tc>
        <w:tc>
          <w:tcPr>
            <w:tcW w:w="4534" w:type="dxa"/>
          </w:tcPr>
          <w:p w14:paraId="7DDC229D" w14:textId="32299ECA" w:rsidR="005C18AB" w:rsidRPr="006251A7" w:rsidRDefault="005C18AB" w:rsidP="00D53C09">
            <w:pPr>
              <w:pStyle w:val="TableParagraph"/>
              <w:keepLines/>
              <w:widowControl/>
              <w:rPr>
                <w:rFonts w:asciiTheme="minorHAnsi" w:hAnsiTheme="minorHAnsi" w:cstheme="minorHAnsi"/>
                <w:sz w:val="18"/>
                <w:szCs w:val="18"/>
              </w:rPr>
            </w:pPr>
          </w:p>
        </w:tc>
      </w:tr>
      <w:tr w:rsidR="005C18AB" w:rsidRPr="006251A7" w14:paraId="2ABB39F3" w14:textId="77777777" w:rsidTr="2539CAE0">
        <w:tc>
          <w:tcPr>
            <w:tcW w:w="1945" w:type="dxa"/>
            <w:vMerge/>
          </w:tcPr>
          <w:p w14:paraId="584D7B53" w14:textId="77777777" w:rsidR="005C18AB" w:rsidRPr="006251A7" w:rsidRDefault="005C18AB" w:rsidP="00D53C09">
            <w:pPr>
              <w:pStyle w:val="TableParagraph"/>
              <w:keepLines/>
              <w:widowControl/>
              <w:spacing w:line="268" w:lineRule="auto"/>
              <w:ind w:left="60"/>
              <w:rPr>
                <w:rFonts w:asciiTheme="minorHAnsi" w:hAnsiTheme="minorHAnsi" w:cstheme="minorHAnsi"/>
                <w:b/>
                <w:spacing w:val="-2"/>
                <w:sz w:val="18"/>
                <w:szCs w:val="18"/>
              </w:rPr>
            </w:pPr>
          </w:p>
        </w:tc>
        <w:tc>
          <w:tcPr>
            <w:tcW w:w="2217" w:type="dxa"/>
          </w:tcPr>
          <w:p w14:paraId="2F8108CE" w14:textId="4D4A0B41" w:rsidR="005C18AB" w:rsidRPr="006251A7" w:rsidRDefault="005C18AB" w:rsidP="00D53C09">
            <w:pPr>
              <w:pStyle w:val="TableParagraph"/>
              <w:keepLines/>
              <w:widowControl/>
              <w:spacing w:line="207" w:lineRule="exact"/>
              <w:ind w:left="104"/>
              <w:rPr>
                <w:rFonts w:asciiTheme="minorHAnsi" w:hAnsiTheme="minorHAnsi" w:cstheme="minorHAnsi"/>
                <w:sz w:val="18"/>
                <w:szCs w:val="18"/>
              </w:rPr>
            </w:pPr>
            <w:r w:rsidRPr="006251A7">
              <w:rPr>
                <w:rFonts w:asciiTheme="minorHAnsi" w:hAnsiTheme="minorHAnsi" w:cstheme="minorHAnsi"/>
                <w:sz w:val="18"/>
                <w:szCs w:val="18"/>
              </w:rPr>
              <w:t>Demand response program costs</w:t>
            </w:r>
          </w:p>
        </w:tc>
        <w:tc>
          <w:tcPr>
            <w:tcW w:w="971" w:type="dxa"/>
            <w:gridSpan w:val="2"/>
          </w:tcPr>
          <w:p w14:paraId="043B8A20" w14:textId="74D8E897" w:rsidR="005C18AB" w:rsidRPr="006251A7" w:rsidRDefault="005C18AB" w:rsidP="00D53C09">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0</w:t>
            </w:r>
          </w:p>
        </w:tc>
        <w:tc>
          <w:tcPr>
            <w:tcW w:w="3296" w:type="dxa"/>
          </w:tcPr>
          <w:p w14:paraId="7B2EA571" w14:textId="77777777" w:rsidR="005C18AB" w:rsidRPr="006251A7" w:rsidRDefault="005C18AB" w:rsidP="00D53C09">
            <w:pPr>
              <w:pStyle w:val="TableParagraph"/>
              <w:keepLines/>
              <w:widowControl/>
              <w:rPr>
                <w:rFonts w:asciiTheme="minorHAnsi" w:hAnsiTheme="minorHAnsi" w:cstheme="minorHAnsi"/>
                <w:sz w:val="18"/>
                <w:szCs w:val="18"/>
              </w:rPr>
            </w:pPr>
          </w:p>
        </w:tc>
        <w:tc>
          <w:tcPr>
            <w:tcW w:w="4534" w:type="dxa"/>
          </w:tcPr>
          <w:p w14:paraId="478DEC9E" w14:textId="7244254C" w:rsidR="005C18AB" w:rsidRPr="006251A7" w:rsidRDefault="00A90F5C" w:rsidP="00D53C09">
            <w:pPr>
              <w:pStyle w:val="TableParagraph"/>
              <w:keepLines/>
              <w:widowControl/>
              <w:rPr>
                <w:rFonts w:asciiTheme="minorHAnsi" w:hAnsiTheme="minorHAnsi" w:cstheme="minorHAnsi"/>
                <w:sz w:val="18"/>
                <w:szCs w:val="18"/>
              </w:rPr>
            </w:pPr>
            <w:r>
              <w:rPr>
                <w:rFonts w:asciiTheme="minorHAnsi" w:hAnsiTheme="minorHAnsi" w:cstheme="minorHAnsi"/>
                <w:sz w:val="18"/>
                <w:szCs w:val="18"/>
              </w:rPr>
              <w:t>Demand response program investments</w:t>
            </w:r>
            <w:r w:rsidR="007130DD" w:rsidRPr="006251A7">
              <w:rPr>
                <w:rFonts w:asciiTheme="minorHAnsi" w:hAnsiTheme="minorHAnsi" w:cstheme="minorHAnsi"/>
                <w:sz w:val="18"/>
                <w:szCs w:val="18"/>
              </w:rPr>
              <w:t xml:space="preserve"> is another tool that helps reduce energy demand more affordably </w:t>
            </w:r>
            <w:r w:rsidR="0083514D" w:rsidRPr="006251A7">
              <w:rPr>
                <w:rFonts w:asciiTheme="minorHAnsi" w:hAnsiTheme="minorHAnsi" w:cstheme="minorHAnsi"/>
                <w:sz w:val="18"/>
                <w:szCs w:val="18"/>
              </w:rPr>
              <w:t>than</w:t>
            </w:r>
            <w:r w:rsidR="007130DD" w:rsidRPr="006251A7">
              <w:rPr>
                <w:rFonts w:asciiTheme="minorHAnsi" w:hAnsiTheme="minorHAnsi" w:cstheme="minorHAnsi"/>
                <w:sz w:val="18"/>
                <w:szCs w:val="18"/>
              </w:rPr>
              <w:t xml:space="preserve"> investing capital expenditures and accelerates the decarbonization of the grid by reducing the need to construct peaker plants as backup energy resources for high-demand times. </w:t>
            </w:r>
          </w:p>
        </w:tc>
      </w:tr>
      <w:tr w:rsidR="008F3A1C" w:rsidRPr="006251A7" w14:paraId="1A57C391" w14:textId="77777777" w:rsidTr="2539CAE0">
        <w:tc>
          <w:tcPr>
            <w:tcW w:w="1945" w:type="dxa"/>
            <w:vMerge/>
          </w:tcPr>
          <w:p w14:paraId="6EAE6640" w14:textId="77777777" w:rsidR="008F3A1C" w:rsidRPr="006251A7" w:rsidRDefault="008F3A1C" w:rsidP="008F3A1C">
            <w:pPr>
              <w:pStyle w:val="TableParagraph"/>
              <w:keepLines/>
              <w:widowControl/>
              <w:spacing w:line="268" w:lineRule="auto"/>
              <w:ind w:left="60"/>
              <w:rPr>
                <w:rFonts w:asciiTheme="minorHAnsi" w:hAnsiTheme="minorHAnsi" w:cstheme="minorHAnsi"/>
                <w:b/>
                <w:spacing w:val="-2"/>
                <w:sz w:val="18"/>
                <w:szCs w:val="18"/>
              </w:rPr>
            </w:pPr>
          </w:p>
        </w:tc>
        <w:tc>
          <w:tcPr>
            <w:tcW w:w="2217" w:type="dxa"/>
          </w:tcPr>
          <w:p w14:paraId="33959977" w14:textId="75DE3790" w:rsidR="008F3A1C" w:rsidRPr="006251A7" w:rsidRDefault="008F3A1C" w:rsidP="008F3A1C">
            <w:pPr>
              <w:pStyle w:val="TableParagraph"/>
              <w:keepLines/>
              <w:widowControl/>
              <w:spacing w:line="207" w:lineRule="exact"/>
              <w:ind w:left="104"/>
              <w:rPr>
                <w:rFonts w:asciiTheme="minorHAnsi" w:hAnsiTheme="minorHAnsi" w:cstheme="minorHAnsi"/>
                <w:sz w:val="18"/>
                <w:szCs w:val="18"/>
              </w:rPr>
            </w:pPr>
            <w:r w:rsidRPr="006251A7">
              <w:rPr>
                <w:rFonts w:asciiTheme="minorHAnsi" w:hAnsiTheme="minorHAnsi" w:cstheme="minorHAnsi"/>
                <w:sz w:val="18"/>
                <w:szCs w:val="18"/>
              </w:rPr>
              <w:t>RPS compliance costs</w:t>
            </w:r>
          </w:p>
        </w:tc>
        <w:tc>
          <w:tcPr>
            <w:tcW w:w="971" w:type="dxa"/>
            <w:gridSpan w:val="2"/>
          </w:tcPr>
          <w:p w14:paraId="0D2D3995" w14:textId="23BC8B5E" w:rsidR="008F3A1C" w:rsidRPr="006251A7" w:rsidRDefault="008F3A1C" w:rsidP="008F3A1C">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0</w:t>
            </w:r>
          </w:p>
        </w:tc>
        <w:tc>
          <w:tcPr>
            <w:tcW w:w="3296" w:type="dxa"/>
          </w:tcPr>
          <w:p w14:paraId="1B06CA52" w14:textId="1417AC5A" w:rsidR="008F3A1C" w:rsidRPr="006251A7" w:rsidRDefault="002B7237" w:rsidP="008F3A1C">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Beyond statutory procurement requirements for p</w:t>
            </w:r>
            <w:r w:rsidR="008F3A1C" w:rsidRPr="006251A7">
              <w:rPr>
                <w:rFonts w:asciiTheme="minorHAnsi" w:hAnsiTheme="minorHAnsi" w:cstheme="minorHAnsi"/>
                <w:sz w:val="18"/>
                <w:szCs w:val="18"/>
              </w:rPr>
              <w:t>urchased power</w:t>
            </w:r>
            <w:r w:rsidRPr="006251A7">
              <w:rPr>
                <w:rFonts w:asciiTheme="minorHAnsi" w:hAnsiTheme="minorHAnsi" w:cstheme="minorHAnsi"/>
                <w:sz w:val="18"/>
                <w:szCs w:val="18"/>
              </w:rPr>
              <w:t xml:space="preserve"> that is renewable</w:t>
            </w:r>
            <w:r w:rsidR="002D7E5D" w:rsidRPr="006251A7">
              <w:rPr>
                <w:rFonts w:asciiTheme="minorHAnsi" w:hAnsiTheme="minorHAnsi" w:cstheme="minorHAnsi"/>
                <w:sz w:val="18"/>
                <w:szCs w:val="18"/>
              </w:rPr>
              <w:t xml:space="preserve"> and </w:t>
            </w:r>
            <w:r w:rsidR="008F3A1C" w:rsidRPr="006251A7">
              <w:rPr>
                <w:rFonts w:asciiTheme="minorHAnsi" w:hAnsiTheme="minorHAnsi" w:cstheme="minorHAnsi"/>
                <w:sz w:val="18"/>
                <w:szCs w:val="18"/>
              </w:rPr>
              <w:t xml:space="preserve">energy efficiency </w:t>
            </w:r>
            <w:r w:rsidRPr="006251A7">
              <w:rPr>
                <w:rFonts w:asciiTheme="minorHAnsi" w:hAnsiTheme="minorHAnsi" w:cstheme="minorHAnsi"/>
                <w:sz w:val="18"/>
                <w:szCs w:val="18"/>
              </w:rPr>
              <w:t>investments</w:t>
            </w:r>
            <w:r w:rsidR="002D7E5D" w:rsidRPr="006251A7">
              <w:rPr>
                <w:rFonts w:asciiTheme="minorHAnsi" w:hAnsiTheme="minorHAnsi" w:cstheme="minorHAnsi"/>
                <w:sz w:val="18"/>
                <w:szCs w:val="18"/>
              </w:rPr>
              <w:t>, the resources</w:t>
            </w:r>
            <w:r w:rsidR="008F3A1C" w:rsidRPr="006251A7">
              <w:rPr>
                <w:rFonts w:asciiTheme="minorHAnsi" w:hAnsiTheme="minorHAnsi" w:cstheme="minorHAnsi"/>
                <w:sz w:val="18"/>
                <w:szCs w:val="18"/>
              </w:rPr>
              <w:t xml:space="preserve"> are in</w:t>
            </w:r>
            <w:r w:rsidR="005D3FB0" w:rsidRPr="006251A7">
              <w:rPr>
                <w:rFonts w:asciiTheme="minorHAnsi" w:hAnsiTheme="minorHAnsi" w:cstheme="minorHAnsi"/>
                <w:sz w:val="18"/>
                <w:szCs w:val="18"/>
              </w:rPr>
              <w:t xml:space="preserve"> some ways in</w:t>
            </w:r>
            <w:r w:rsidR="008F3A1C" w:rsidRPr="006251A7">
              <w:rPr>
                <w:rFonts w:asciiTheme="minorHAnsi" w:hAnsiTheme="minorHAnsi" w:cstheme="minorHAnsi"/>
                <w:sz w:val="18"/>
                <w:szCs w:val="18"/>
              </w:rPr>
              <w:t xml:space="preserve"> competition </w:t>
            </w:r>
            <w:r w:rsidRPr="006251A7">
              <w:rPr>
                <w:rFonts w:asciiTheme="minorHAnsi" w:hAnsiTheme="minorHAnsi" w:cstheme="minorHAnsi"/>
                <w:sz w:val="18"/>
                <w:szCs w:val="18"/>
              </w:rPr>
              <w:t xml:space="preserve">with </w:t>
            </w:r>
            <w:r w:rsidR="003D52BE">
              <w:rPr>
                <w:rFonts w:asciiTheme="minorHAnsi" w:hAnsiTheme="minorHAnsi" w:cstheme="minorHAnsi"/>
                <w:sz w:val="18"/>
                <w:szCs w:val="18"/>
              </w:rPr>
              <w:t>each other for</w:t>
            </w:r>
            <w:r w:rsidR="008F3A1C" w:rsidRPr="006251A7">
              <w:rPr>
                <w:rFonts w:asciiTheme="minorHAnsi" w:hAnsiTheme="minorHAnsi" w:cstheme="minorHAnsi"/>
                <w:sz w:val="18"/>
                <w:szCs w:val="18"/>
              </w:rPr>
              <w:t xml:space="preserve"> meeting existing or forecasted growth in energy demand</w:t>
            </w:r>
            <w:r w:rsidRPr="006251A7">
              <w:rPr>
                <w:rFonts w:asciiTheme="minorHAnsi" w:hAnsiTheme="minorHAnsi" w:cstheme="minorHAnsi"/>
                <w:sz w:val="18"/>
                <w:szCs w:val="18"/>
              </w:rPr>
              <w:t xml:space="preserve">, such as within the context of integrated resource planning. </w:t>
            </w:r>
          </w:p>
        </w:tc>
        <w:tc>
          <w:tcPr>
            <w:tcW w:w="4534" w:type="dxa"/>
          </w:tcPr>
          <w:p w14:paraId="6E8C6050" w14:textId="75B494F9" w:rsidR="008F3A1C" w:rsidRPr="006251A7" w:rsidRDefault="002B7237" w:rsidP="008F3A1C">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Purchasing RECs is a key component of the state’s mandatory RPS requirements. Both resources support the decarbonization of the grid and are historically more financially prudent for customers than building new capital energy resources esp. through RACs.</w:t>
            </w:r>
          </w:p>
        </w:tc>
      </w:tr>
      <w:tr w:rsidR="008F3A1C" w:rsidRPr="006251A7" w14:paraId="5DB56EE8" w14:textId="77777777" w:rsidTr="2539CAE0">
        <w:tc>
          <w:tcPr>
            <w:tcW w:w="1945" w:type="dxa"/>
            <w:vMerge/>
          </w:tcPr>
          <w:p w14:paraId="33F657BC" w14:textId="77777777" w:rsidR="008F3A1C" w:rsidRPr="006251A7" w:rsidRDefault="008F3A1C" w:rsidP="008F3A1C">
            <w:pPr>
              <w:pStyle w:val="TableParagraph"/>
              <w:keepLines/>
              <w:widowControl/>
              <w:spacing w:line="268" w:lineRule="auto"/>
              <w:ind w:left="60"/>
              <w:rPr>
                <w:rFonts w:asciiTheme="minorHAnsi" w:hAnsiTheme="minorHAnsi" w:cstheme="minorHAnsi"/>
                <w:b/>
                <w:spacing w:val="-2"/>
                <w:sz w:val="18"/>
                <w:szCs w:val="18"/>
              </w:rPr>
            </w:pPr>
          </w:p>
        </w:tc>
        <w:tc>
          <w:tcPr>
            <w:tcW w:w="2217" w:type="dxa"/>
          </w:tcPr>
          <w:p w14:paraId="0C909AC5" w14:textId="044418AD" w:rsidR="008F3A1C" w:rsidRPr="006251A7" w:rsidRDefault="008F3A1C" w:rsidP="008F3A1C">
            <w:pPr>
              <w:pStyle w:val="TableParagraph"/>
              <w:keepLines/>
              <w:widowControl/>
              <w:spacing w:line="207" w:lineRule="exact"/>
              <w:ind w:left="104"/>
              <w:rPr>
                <w:rFonts w:asciiTheme="minorHAnsi" w:hAnsiTheme="minorHAnsi" w:cstheme="minorHAnsi"/>
                <w:sz w:val="18"/>
                <w:szCs w:val="18"/>
              </w:rPr>
            </w:pPr>
            <w:r w:rsidRPr="006251A7">
              <w:rPr>
                <w:rFonts w:asciiTheme="minorHAnsi" w:hAnsiTheme="minorHAnsi" w:cstheme="minorHAnsi"/>
                <w:sz w:val="18"/>
                <w:szCs w:val="18"/>
              </w:rPr>
              <w:t>Broadband capacity extension</w:t>
            </w:r>
          </w:p>
        </w:tc>
        <w:tc>
          <w:tcPr>
            <w:tcW w:w="971" w:type="dxa"/>
            <w:gridSpan w:val="2"/>
          </w:tcPr>
          <w:p w14:paraId="228E3862" w14:textId="5A9987BB" w:rsidR="008F3A1C" w:rsidRPr="006251A7" w:rsidRDefault="008F3A1C" w:rsidP="008F3A1C">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0</w:t>
            </w:r>
          </w:p>
        </w:tc>
        <w:tc>
          <w:tcPr>
            <w:tcW w:w="3296" w:type="dxa"/>
          </w:tcPr>
          <w:p w14:paraId="4515BFA6" w14:textId="77777777" w:rsidR="008F3A1C" w:rsidRPr="006251A7" w:rsidRDefault="008F3A1C" w:rsidP="008F3A1C">
            <w:pPr>
              <w:pStyle w:val="TableParagraph"/>
              <w:keepLines/>
              <w:widowControl/>
              <w:rPr>
                <w:rFonts w:asciiTheme="minorHAnsi" w:hAnsiTheme="minorHAnsi" w:cstheme="minorHAnsi"/>
                <w:sz w:val="18"/>
                <w:szCs w:val="18"/>
              </w:rPr>
            </w:pPr>
          </w:p>
        </w:tc>
        <w:tc>
          <w:tcPr>
            <w:tcW w:w="4534" w:type="dxa"/>
          </w:tcPr>
          <w:p w14:paraId="6E66180C" w14:textId="77777777" w:rsidR="008F3A1C" w:rsidRPr="006251A7" w:rsidRDefault="008F3A1C" w:rsidP="008F3A1C">
            <w:pPr>
              <w:pStyle w:val="TableParagraph"/>
              <w:keepLines/>
              <w:widowControl/>
              <w:rPr>
                <w:rFonts w:asciiTheme="minorHAnsi" w:hAnsiTheme="minorHAnsi" w:cstheme="minorHAnsi"/>
                <w:sz w:val="18"/>
                <w:szCs w:val="18"/>
              </w:rPr>
            </w:pPr>
          </w:p>
        </w:tc>
      </w:tr>
      <w:tr w:rsidR="008F3A1C" w:rsidRPr="006251A7" w14:paraId="2FAA517C" w14:textId="77777777" w:rsidTr="2539CAE0">
        <w:tc>
          <w:tcPr>
            <w:tcW w:w="1945" w:type="dxa"/>
            <w:vMerge/>
          </w:tcPr>
          <w:p w14:paraId="0B71937D" w14:textId="77777777" w:rsidR="008F3A1C" w:rsidRPr="006251A7" w:rsidRDefault="008F3A1C" w:rsidP="008F3A1C">
            <w:pPr>
              <w:pStyle w:val="TableParagraph"/>
              <w:keepLines/>
              <w:widowControl/>
              <w:spacing w:line="268" w:lineRule="auto"/>
              <w:ind w:left="60"/>
              <w:rPr>
                <w:rFonts w:asciiTheme="minorHAnsi" w:hAnsiTheme="minorHAnsi" w:cstheme="minorHAnsi"/>
                <w:b/>
                <w:spacing w:val="-2"/>
                <w:sz w:val="18"/>
                <w:szCs w:val="18"/>
              </w:rPr>
            </w:pPr>
          </w:p>
        </w:tc>
        <w:tc>
          <w:tcPr>
            <w:tcW w:w="2217" w:type="dxa"/>
          </w:tcPr>
          <w:p w14:paraId="1F33C6C1" w14:textId="0653DDEC" w:rsidR="008F3A1C" w:rsidRPr="006251A7" w:rsidRDefault="008F3A1C" w:rsidP="008F3A1C">
            <w:pPr>
              <w:pStyle w:val="TableParagraph"/>
              <w:keepLines/>
              <w:widowControl/>
              <w:spacing w:line="207" w:lineRule="exact"/>
              <w:ind w:left="104"/>
              <w:rPr>
                <w:rFonts w:asciiTheme="minorHAnsi" w:hAnsiTheme="minorHAnsi" w:cstheme="minorHAnsi"/>
                <w:sz w:val="18"/>
                <w:szCs w:val="18"/>
              </w:rPr>
            </w:pPr>
            <w:r w:rsidRPr="006251A7">
              <w:rPr>
                <w:rFonts w:asciiTheme="minorHAnsi" w:hAnsiTheme="minorHAnsi" w:cstheme="minorHAnsi"/>
                <w:sz w:val="18"/>
                <w:szCs w:val="18"/>
              </w:rPr>
              <w:t>Low-income programs (lost revenue recovery)</w:t>
            </w:r>
          </w:p>
        </w:tc>
        <w:tc>
          <w:tcPr>
            <w:tcW w:w="971" w:type="dxa"/>
            <w:gridSpan w:val="2"/>
          </w:tcPr>
          <w:p w14:paraId="205C9143" w14:textId="32E07870" w:rsidR="008F3A1C" w:rsidRPr="006251A7" w:rsidRDefault="008F3A1C" w:rsidP="008F3A1C">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0</w:t>
            </w:r>
            <w:r w:rsidR="00A24A2E" w:rsidRPr="006251A7">
              <w:rPr>
                <w:rFonts w:asciiTheme="minorHAnsi" w:hAnsiTheme="minorHAnsi" w:cstheme="minorHAnsi"/>
                <w:sz w:val="18"/>
                <w:szCs w:val="18"/>
              </w:rPr>
              <w:t>/+</w:t>
            </w:r>
          </w:p>
        </w:tc>
        <w:tc>
          <w:tcPr>
            <w:tcW w:w="3296" w:type="dxa"/>
          </w:tcPr>
          <w:p w14:paraId="1A3D8531" w14:textId="12F2982E" w:rsidR="008F3A1C" w:rsidRPr="006251A7" w:rsidRDefault="00A24A2E" w:rsidP="008F3A1C">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 xml:space="preserve">The PIPP program does provide an opportunity for electric utilities to </w:t>
            </w:r>
            <w:r w:rsidR="00990033" w:rsidRPr="006251A7">
              <w:rPr>
                <w:rFonts w:asciiTheme="minorHAnsi" w:hAnsiTheme="minorHAnsi" w:cstheme="minorHAnsi"/>
                <w:sz w:val="18"/>
                <w:szCs w:val="18"/>
              </w:rPr>
              <w:t xml:space="preserve">provide </w:t>
            </w:r>
            <w:r w:rsidRPr="006251A7">
              <w:rPr>
                <w:rFonts w:asciiTheme="minorHAnsi" w:hAnsiTheme="minorHAnsi" w:cstheme="minorHAnsi"/>
                <w:sz w:val="18"/>
                <w:szCs w:val="18"/>
              </w:rPr>
              <w:t>energy efficiency</w:t>
            </w:r>
            <w:r w:rsidR="00990033" w:rsidRPr="006251A7">
              <w:rPr>
                <w:rFonts w:asciiTheme="minorHAnsi" w:hAnsiTheme="minorHAnsi" w:cstheme="minorHAnsi"/>
                <w:sz w:val="18"/>
                <w:szCs w:val="18"/>
              </w:rPr>
              <w:t xml:space="preserve"> savings for low-income customers – though t</w:t>
            </w:r>
            <w:r w:rsidR="0066749E" w:rsidRPr="006251A7">
              <w:rPr>
                <w:rFonts w:asciiTheme="minorHAnsi" w:hAnsiTheme="minorHAnsi" w:cstheme="minorHAnsi"/>
                <w:sz w:val="18"/>
                <w:szCs w:val="18"/>
              </w:rPr>
              <w:t>he program does provide additional resources for these investments</w:t>
            </w:r>
            <w:r w:rsidR="008A07E8">
              <w:rPr>
                <w:rFonts w:asciiTheme="minorHAnsi" w:hAnsiTheme="minorHAnsi" w:cstheme="minorHAnsi"/>
                <w:sz w:val="18"/>
                <w:szCs w:val="18"/>
              </w:rPr>
              <w:t xml:space="preserve">, </w:t>
            </w:r>
            <w:r w:rsidR="0066749E" w:rsidRPr="006251A7">
              <w:rPr>
                <w:rFonts w:asciiTheme="minorHAnsi" w:hAnsiTheme="minorHAnsi" w:cstheme="minorHAnsi"/>
                <w:sz w:val="18"/>
                <w:szCs w:val="18"/>
              </w:rPr>
              <w:t>it has not deeply maximized energy efficiency savings for low-income customers</w:t>
            </w:r>
            <w:r w:rsidR="00BF2ED3">
              <w:rPr>
                <w:rFonts w:asciiTheme="minorHAnsi" w:hAnsiTheme="minorHAnsi" w:cstheme="minorHAnsi"/>
                <w:sz w:val="18"/>
                <w:szCs w:val="18"/>
              </w:rPr>
              <w:t xml:space="preserve"> such that there are progressive</w:t>
            </w:r>
            <w:r w:rsidR="008A07E8">
              <w:rPr>
                <w:rFonts w:asciiTheme="minorHAnsi" w:hAnsiTheme="minorHAnsi" w:cstheme="minorHAnsi"/>
                <w:sz w:val="18"/>
                <w:szCs w:val="18"/>
              </w:rPr>
              <w:t xml:space="preserve"> increases in</w:t>
            </w:r>
            <w:r w:rsidR="00BF2ED3">
              <w:rPr>
                <w:rFonts w:asciiTheme="minorHAnsi" w:hAnsiTheme="minorHAnsi" w:cstheme="minorHAnsi"/>
                <w:sz w:val="18"/>
                <w:szCs w:val="18"/>
              </w:rPr>
              <w:t xml:space="preserve"> reductions in energy burdens for these customers despite the deep need. </w:t>
            </w:r>
          </w:p>
        </w:tc>
        <w:tc>
          <w:tcPr>
            <w:tcW w:w="4534" w:type="dxa"/>
          </w:tcPr>
          <w:p w14:paraId="452B7813" w14:textId="77777777" w:rsidR="008F3A1C" w:rsidRPr="006251A7" w:rsidRDefault="008F3A1C" w:rsidP="008F3A1C">
            <w:pPr>
              <w:pStyle w:val="TableParagraph"/>
              <w:keepLines/>
              <w:widowControl/>
              <w:rPr>
                <w:rFonts w:asciiTheme="minorHAnsi" w:hAnsiTheme="minorHAnsi" w:cstheme="minorHAnsi"/>
                <w:sz w:val="18"/>
                <w:szCs w:val="18"/>
              </w:rPr>
            </w:pPr>
          </w:p>
        </w:tc>
      </w:tr>
      <w:tr w:rsidR="00FD015F" w:rsidRPr="006251A7" w14:paraId="32332293" w14:textId="77777777" w:rsidTr="2539CAE0">
        <w:tc>
          <w:tcPr>
            <w:tcW w:w="1945" w:type="dxa"/>
            <w:vMerge/>
          </w:tcPr>
          <w:p w14:paraId="3404E10F" w14:textId="77777777" w:rsidR="00FD015F" w:rsidRPr="006251A7" w:rsidRDefault="00FD015F" w:rsidP="00FD015F">
            <w:pPr>
              <w:pStyle w:val="TableParagraph"/>
              <w:keepLines/>
              <w:widowControl/>
              <w:spacing w:line="268" w:lineRule="auto"/>
              <w:ind w:left="60"/>
              <w:rPr>
                <w:rFonts w:asciiTheme="minorHAnsi" w:hAnsiTheme="minorHAnsi" w:cstheme="minorHAnsi"/>
                <w:b/>
                <w:spacing w:val="-2"/>
                <w:sz w:val="18"/>
                <w:szCs w:val="18"/>
              </w:rPr>
            </w:pPr>
          </w:p>
        </w:tc>
        <w:tc>
          <w:tcPr>
            <w:tcW w:w="2217" w:type="dxa"/>
          </w:tcPr>
          <w:p w14:paraId="3A3ABC37" w14:textId="3663E1AB" w:rsidR="00FD015F" w:rsidRPr="006251A7" w:rsidRDefault="00FD015F" w:rsidP="00FD015F">
            <w:pPr>
              <w:pStyle w:val="TableParagraph"/>
              <w:keepLines/>
              <w:widowControl/>
              <w:spacing w:line="207" w:lineRule="exact"/>
              <w:ind w:left="104"/>
              <w:rPr>
                <w:rFonts w:asciiTheme="minorHAnsi" w:hAnsiTheme="minorHAnsi" w:cstheme="minorHAnsi"/>
                <w:sz w:val="18"/>
                <w:szCs w:val="18"/>
              </w:rPr>
            </w:pPr>
            <w:r w:rsidRPr="006251A7">
              <w:rPr>
                <w:rFonts w:asciiTheme="minorHAnsi" w:hAnsiTheme="minorHAnsi" w:cstheme="minorHAnsi"/>
                <w:sz w:val="18"/>
                <w:szCs w:val="18"/>
              </w:rPr>
              <w:t>Capital projects (e.g., combined cycle gas projects, offshore wind, solar, distribution system undergrounding, distribution grid transformation, nuclear life extension, etc.)</w:t>
            </w:r>
          </w:p>
        </w:tc>
        <w:tc>
          <w:tcPr>
            <w:tcW w:w="971" w:type="dxa"/>
            <w:gridSpan w:val="2"/>
          </w:tcPr>
          <w:p w14:paraId="7A53538F" w14:textId="133B5BCF" w:rsidR="00FD015F" w:rsidRPr="006251A7" w:rsidRDefault="00FD015F" w:rsidP="00FD015F">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w:t>
            </w:r>
          </w:p>
        </w:tc>
        <w:tc>
          <w:tcPr>
            <w:tcW w:w="3296" w:type="dxa"/>
          </w:tcPr>
          <w:p w14:paraId="69B97D06" w14:textId="7245EE73" w:rsidR="00FD015F" w:rsidRPr="006251A7" w:rsidRDefault="00FD015F" w:rsidP="00FD015F">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 xml:space="preserve">RACs provide accelerated recovery of various capital and program costs that would otherwise go into the base rates. Over the last several years since re-regulation in the state, “riders”, “cost trackers” or “RACs” as they are referred to are main drivers of energy consumers bill increases and “drastically” limit the amount of savings customers would otherwise be able to achieve through individual or utility-related energy efficiency investments for lowering energy costs and decarbonization. As discussed by SCC, basically 50% of utility costs are financed through these on-bill surcharges, which are passed onto customers so utilities can recover their costs of service with a profit. There is </w:t>
            </w:r>
            <w:r w:rsidR="006F14AF" w:rsidRPr="006251A7">
              <w:rPr>
                <w:rFonts w:asciiTheme="minorHAnsi" w:hAnsiTheme="minorHAnsi" w:cstheme="minorHAnsi"/>
                <w:sz w:val="18"/>
                <w:szCs w:val="18"/>
              </w:rPr>
              <w:t>a much</w:t>
            </w:r>
            <w:r w:rsidRPr="006251A7">
              <w:rPr>
                <w:rFonts w:asciiTheme="minorHAnsi" w:hAnsiTheme="minorHAnsi" w:cstheme="minorHAnsi"/>
                <w:sz w:val="18"/>
                <w:szCs w:val="18"/>
              </w:rPr>
              <w:t xml:space="preserve"> more positive financial incentive for utilities to seek financing capital projects through RACs to meet energy demand than compared to the financial performance incentives included in the states EERS</w:t>
            </w:r>
            <w:r w:rsidR="00F873AC" w:rsidRPr="006251A7">
              <w:rPr>
                <w:rFonts w:asciiTheme="minorHAnsi" w:hAnsiTheme="minorHAnsi" w:cstheme="minorHAnsi"/>
                <w:sz w:val="18"/>
                <w:szCs w:val="18"/>
              </w:rPr>
              <w:t>.</w:t>
            </w:r>
          </w:p>
        </w:tc>
        <w:tc>
          <w:tcPr>
            <w:tcW w:w="4534" w:type="dxa"/>
          </w:tcPr>
          <w:p w14:paraId="0BFE3490" w14:textId="2836A529" w:rsidR="00FD015F" w:rsidRPr="006251A7" w:rsidRDefault="00FD015F" w:rsidP="00FD015F">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 xml:space="preserve"> To ensure that customers are able to maximize the energy efficiency measures at their disposal to reduce their energy costs and support decarbonization by reducing overall demand - it is critical for the SCC to reduce the number of RACs that electric utilities have accumulated and roll those RACs into base rates. The SCC should also consider strong threshold with very specific criteria for the approval of any  proposed RACs going-forward to abate energy savings provided by energy efficiency or other alternative and performance regulations being undercut or completely diminished by status quo expenditure of numerous capital expenses through generation RACs between utility rate cases. Some RAC reform policy approaches include, but are not limited to limitations on the rate impact of RACs, filling and legislative requirements, expectations to conduct consumer impact analyses per RAC, on-bill rider comparisons, retiring approved RACs into base rates, special evaluation procedures for RACs, as well as rate analyst publications from the utility regulator.</w:t>
            </w:r>
          </w:p>
        </w:tc>
      </w:tr>
      <w:tr w:rsidR="00FD015F" w:rsidRPr="006251A7" w14:paraId="616226A1" w14:textId="77777777" w:rsidTr="2539CAE0">
        <w:trPr>
          <w:trHeight w:val="680"/>
        </w:trPr>
        <w:tc>
          <w:tcPr>
            <w:tcW w:w="1945" w:type="dxa"/>
            <w:vMerge w:val="restart"/>
            <w:tcBorders>
              <w:top w:val="dashed" w:sz="4" w:space="0" w:color="auto"/>
            </w:tcBorders>
          </w:tcPr>
          <w:p w14:paraId="3ABE4385" w14:textId="0FFBD0FD" w:rsidR="00FD015F" w:rsidRPr="006251A7" w:rsidRDefault="00FD015F" w:rsidP="00FD015F">
            <w:pPr>
              <w:pStyle w:val="TableParagraph"/>
              <w:keepLines/>
              <w:widowControl/>
              <w:spacing w:line="268" w:lineRule="auto"/>
              <w:ind w:left="60"/>
              <w:rPr>
                <w:rFonts w:asciiTheme="minorHAnsi" w:hAnsiTheme="minorHAnsi" w:cstheme="minorHAnsi"/>
                <w:b/>
                <w:spacing w:val="-2"/>
                <w:sz w:val="18"/>
                <w:szCs w:val="18"/>
              </w:rPr>
            </w:pPr>
            <w:r w:rsidRPr="006251A7">
              <w:rPr>
                <w:rFonts w:asciiTheme="minorHAnsi" w:hAnsiTheme="minorHAnsi" w:cstheme="minorHAnsi"/>
                <w:b/>
                <w:bCs/>
                <w:sz w:val="18"/>
                <w:szCs w:val="18"/>
              </w:rPr>
              <w:t>Other trackers</w:t>
            </w:r>
            <w:r w:rsidRPr="006251A7">
              <w:rPr>
                <w:rFonts w:asciiTheme="minorHAnsi" w:hAnsiTheme="minorHAnsi" w:cstheme="minorHAnsi"/>
                <w:sz w:val="18"/>
                <w:szCs w:val="18"/>
              </w:rPr>
              <w:t xml:space="preserve"> (user choice to select additional trackers used in Virginia ratemaking for attention)</w:t>
            </w:r>
          </w:p>
        </w:tc>
        <w:tc>
          <w:tcPr>
            <w:tcW w:w="2217" w:type="dxa"/>
          </w:tcPr>
          <w:p w14:paraId="30310C20" w14:textId="77777777" w:rsidR="00FD015F" w:rsidRPr="006251A7" w:rsidRDefault="00FD015F" w:rsidP="00FD015F">
            <w:pPr>
              <w:pStyle w:val="TableParagraph"/>
              <w:keepLines/>
              <w:widowControl/>
              <w:spacing w:line="207" w:lineRule="exact"/>
              <w:ind w:left="180"/>
              <w:rPr>
                <w:rFonts w:asciiTheme="minorHAnsi" w:hAnsiTheme="minorHAnsi" w:cstheme="minorHAnsi"/>
                <w:sz w:val="18"/>
                <w:szCs w:val="18"/>
              </w:rPr>
            </w:pPr>
          </w:p>
        </w:tc>
        <w:tc>
          <w:tcPr>
            <w:tcW w:w="971" w:type="dxa"/>
            <w:gridSpan w:val="2"/>
          </w:tcPr>
          <w:p w14:paraId="64AAF40D" w14:textId="77777777" w:rsidR="00FD015F" w:rsidRPr="006251A7" w:rsidRDefault="00FD015F" w:rsidP="00FD015F">
            <w:pPr>
              <w:pStyle w:val="TableParagraph"/>
              <w:keepLines/>
              <w:widowControl/>
              <w:rPr>
                <w:rFonts w:asciiTheme="minorHAnsi" w:hAnsiTheme="minorHAnsi" w:cstheme="minorHAnsi"/>
                <w:sz w:val="18"/>
                <w:szCs w:val="18"/>
              </w:rPr>
            </w:pPr>
          </w:p>
        </w:tc>
        <w:tc>
          <w:tcPr>
            <w:tcW w:w="3296" w:type="dxa"/>
          </w:tcPr>
          <w:p w14:paraId="0D617B0E" w14:textId="77777777" w:rsidR="00FD015F" w:rsidRPr="006251A7" w:rsidRDefault="00FD015F" w:rsidP="00FD015F">
            <w:pPr>
              <w:pStyle w:val="TableParagraph"/>
              <w:keepLines/>
              <w:widowControl/>
              <w:rPr>
                <w:rFonts w:asciiTheme="minorHAnsi" w:hAnsiTheme="minorHAnsi" w:cstheme="minorHAnsi"/>
                <w:sz w:val="18"/>
                <w:szCs w:val="18"/>
              </w:rPr>
            </w:pPr>
          </w:p>
        </w:tc>
        <w:tc>
          <w:tcPr>
            <w:tcW w:w="4534" w:type="dxa"/>
          </w:tcPr>
          <w:p w14:paraId="6FBA83E0" w14:textId="77777777" w:rsidR="00FD015F" w:rsidRPr="006251A7" w:rsidRDefault="00FD015F" w:rsidP="00FD015F">
            <w:pPr>
              <w:pStyle w:val="TableParagraph"/>
              <w:keepLines/>
              <w:widowControl/>
              <w:rPr>
                <w:rFonts w:asciiTheme="minorHAnsi" w:hAnsiTheme="minorHAnsi" w:cstheme="minorHAnsi"/>
                <w:sz w:val="18"/>
                <w:szCs w:val="18"/>
              </w:rPr>
            </w:pPr>
          </w:p>
        </w:tc>
      </w:tr>
      <w:tr w:rsidR="00FD015F" w:rsidRPr="006251A7" w14:paraId="1853A5E2" w14:textId="77777777" w:rsidTr="2539CAE0">
        <w:tc>
          <w:tcPr>
            <w:tcW w:w="1945" w:type="dxa"/>
            <w:vMerge/>
          </w:tcPr>
          <w:p w14:paraId="7A3C70CC" w14:textId="77777777" w:rsidR="00FD015F" w:rsidRPr="006251A7" w:rsidRDefault="00FD015F" w:rsidP="00FD015F">
            <w:pPr>
              <w:pStyle w:val="TableParagraph"/>
              <w:keepLines/>
              <w:widowControl/>
              <w:spacing w:line="268" w:lineRule="auto"/>
              <w:ind w:left="60"/>
              <w:rPr>
                <w:rFonts w:asciiTheme="minorHAnsi" w:hAnsiTheme="minorHAnsi" w:cstheme="minorHAnsi"/>
                <w:b/>
                <w:spacing w:val="-2"/>
                <w:sz w:val="18"/>
                <w:szCs w:val="18"/>
              </w:rPr>
            </w:pPr>
          </w:p>
        </w:tc>
        <w:tc>
          <w:tcPr>
            <w:tcW w:w="2217" w:type="dxa"/>
          </w:tcPr>
          <w:p w14:paraId="7BC04E72" w14:textId="77777777" w:rsidR="00FD015F" w:rsidRPr="006251A7" w:rsidRDefault="00FD015F" w:rsidP="00FD015F">
            <w:pPr>
              <w:pStyle w:val="TableParagraph"/>
              <w:keepLines/>
              <w:widowControl/>
              <w:spacing w:line="207" w:lineRule="exact"/>
              <w:ind w:left="180"/>
              <w:rPr>
                <w:rFonts w:asciiTheme="minorHAnsi" w:hAnsiTheme="minorHAnsi" w:cstheme="minorHAnsi"/>
                <w:sz w:val="18"/>
                <w:szCs w:val="18"/>
              </w:rPr>
            </w:pPr>
          </w:p>
        </w:tc>
        <w:tc>
          <w:tcPr>
            <w:tcW w:w="971" w:type="dxa"/>
            <w:gridSpan w:val="2"/>
          </w:tcPr>
          <w:p w14:paraId="1B8E73DC" w14:textId="77777777" w:rsidR="00FD015F" w:rsidRPr="006251A7" w:rsidRDefault="00FD015F" w:rsidP="00FD015F">
            <w:pPr>
              <w:pStyle w:val="TableParagraph"/>
              <w:keepLines/>
              <w:widowControl/>
              <w:rPr>
                <w:rFonts w:asciiTheme="minorHAnsi" w:hAnsiTheme="minorHAnsi" w:cstheme="minorHAnsi"/>
                <w:sz w:val="18"/>
                <w:szCs w:val="18"/>
              </w:rPr>
            </w:pPr>
          </w:p>
        </w:tc>
        <w:tc>
          <w:tcPr>
            <w:tcW w:w="3296" w:type="dxa"/>
          </w:tcPr>
          <w:p w14:paraId="42FF8FEB" w14:textId="77777777" w:rsidR="00FD015F" w:rsidRPr="006251A7" w:rsidRDefault="00FD015F" w:rsidP="00FD015F">
            <w:pPr>
              <w:pStyle w:val="TableParagraph"/>
              <w:keepLines/>
              <w:widowControl/>
              <w:rPr>
                <w:rFonts w:asciiTheme="minorHAnsi" w:hAnsiTheme="minorHAnsi" w:cstheme="minorHAnsi"/>
                <w:sz w:val="18"/>
                <w:szCs w:val="18"/>
              </w:rPr>
            </w:pPr>
          </w:p>
        </w:tc>
        <w:tc>
          <w:tcPr>
            <w:tcW w:w="4534" w:type="dxa"/>
          </w:tcPr>
          <w:p w14:paraId="614111C5" w14:textId="77777777" w:rsidR="00FD015F" w:rsidRPr="006251A7" w:rsidRDefault="00FD015F" w:rsidP="00FD015F">
            <w:pPr>
              <w:pStyle w:val="TableParagraph"/>
              <w:keepLines/>
              <w:widowControl/>
              <w:rPr>
                <w:rFonts w:asciiTheme="minorHAnsi" w:hAnsiTheme="minorHAnsi" w:cstheme="minorHAnsi"/>
                <w:sz w:val="18"/>
                <w:szCs w:val="18"/>
              </w:rPr>
            </w:pPr>
          </w:p>
        </w:tc>
      </w:tr>
      <w:tr w:rsidR="00FD015F" w:rsidRPr="006251A7" w14:paraId="41F8BC61" w14:textId="77777777" w:rsidTr="2539CAE0">
        <w:tc>
          <w:tcPr>
            <w:tcW w:w="1945" w:type="dxa"/>
          </w:tcPr>
          <w:p w14:paraId="6EC225F6" w14:textId="5B253493" w:rsidR="00FD015F" w:rsidRPr="006251A7" w:rsidRDefault="00FD015F" w:rsidP="00FD015F">
            <w:pPr>
              <w:pStyle w:val="TableParagraph"/>
              <w:keepLines/>
              <w:widowControl/>
              <w:spacing w:line="268" w:lineRule="auto"/>
              <w:ind w:left="60"/>
              <w:rPr>
                <w:rFonts w:asciiTheme="minorHAnsi" w:hAnsiTheme="minorHAnsi" w:cstheme="minorHAnsi"/>
                <w:b/>
                <w:spacing w:val="-2"/>
                <w:sz w:val="18"/>
                <w:szCs w:val="18"/>
              </w:rPr>
            </w:pPr>
            <w:r w:rsidRPr="006251A7">
              <w:rPr>
                <w:rFonts w:asciiTheme="minorHAnsi" w:hAnsiTheme="minorHAnsi" w:cstheme="minorHAnsi"/>
                <w:b/>
                <w:spacing w:val="-2"/>
                <w:sz w:val="18"/>
                <w:szCs w:val="18"/>
              </w:rPr>
              <w:t>Transmission cost recovery (FERC formula rates)</w:t>
            </w:r>
          </w:p>
        </w:tc>
        <w:tc>
          <w:tcPr>
            <w:tcW w:w="2217" w:type="dxa"/>
          </w:tcPr>
          <w:p w14:paraId="29372FED" w14:textId="42D234CA" w:rsidR="00FD015F" w:rsidRPr="006251A7" w:rsidRDefault="00FD015F" w:rsidP="00FD015F">
            <w:pPr>
              <w:pStyle w:val="TableParagraph"/>
              <w:keepLines/>
              <w:widowControl/>
              <w:spacing w:line="207" w:lineRule="exact"/>
              <w:ind w:left="90"/>
              <w:rPr>
                <w:rFonts w:asciiTheme="minorHAnsi" w:hAnsiTheme="minorHAnsi" w:cstheme="minorHAnsi"/>
                <w:sz w:val="18"/>
                <w:szCs w:val="18"/>
              </w:rPr>
            </w:pPr>
            <w:r w:rsidRPr="006251A7">
              <w:rPr>
                <w:rFonts w:asciiTheme="minorHAnsi" w:hAnsiTheme="minorHAnsi" w:cstheme="minorHAnsi"/>
                <w:sz w:val="18"/>
                <w:szCs w:val="18"/>
              </w:rPr>
              <w:t>Transmission costs as allocated in FERC formula rates, recovered from customers via trackers (RACs) and/or base rates</w:t>
            </w:r>
          </w:p>
        </w:tc>
        <w:tc>
          <w:tcPr>
            <w:tcW w:w="971" w:type="dxa"/>
            <w:gridSpan w:val="2"/>
          </w:tcPr>
          <w:p w14:paraId="45365DC1" w14:textId="077F476A" w:rsidR="00FD015F" w:rsidRPr="006251A7" w:rsidRDefault="00FD015F" w:rsidP="00FD015F">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0</w:t>
            </w:r>
          </w:p>
        </w:tc>
        <w:tc>
          <w:tcPr>
            <w:tcW w:w="3296" w:type="dxa"/>
          </w:tcPr>
          <w:p w14:paraId="51B799F7" w14:textId="77777777" w:rsidR="00FD015F" w:rsidRPr="006251A7" w:rsidRDefault="00FD015F" w:rsidP="00FD015F">
            <w:pPr>
              <w:pStyle w:val="TableParagraph"/>
              <w:keepLines/>
              <w:widowControl/>
              <w:rPr>
                <w:rFonts w:asciiTheme="minorHAnsi" w:hAnsiTheme="minorHAnsi" w:cstheme="minorHAnsi"/>
                <w:sz w:val="18"/>
                <w:szCs w:val="18"/>
              </w:rPr>
            </w:pPr>
          </w:p>
        </w:tc>
        <w:tc>
          <w:tcPr>
            <w:tcW w:w="4534" w:type="dxa"/>
          </w:tcPr>
          <w:p w14:paraId="0B9A854E" w14:textId="77777777" w:rsidR="00FD015F" w:rsidRPr="006251A7" w:rsidRDefault="00FD015F" w:rsidP="00FD015F">
            <w:pPr>
              <w:pStyle w:val="TableParagraph"/>
              <w:keepLines/>
              <w:widowControl/>
              <w:rPr>
                <w:rFonts w:asciiTheme="minorHAnsi" w:hAnsiTheme="minorHAnsi" w:cstheme="minorHAnsi"/>
                <w:sz w:val="18"/>
                <w:szCs w:val="18"/>
              </w:rPr>
            </w:pPr>
          </w:p>
        </w:tc>
      </w:tr>
      <w:tr w:rsidR="00652564" w:rsidRPr="006251A7" w14:paraId="7DD1FE9E" w14:textId="77777777" w:rsidTr="2539CAE0">
        <w:tc>
          <w:tcPr>
            <w:tcW w:w="1945" w:type="dxa"/>
            <w:vMerge w:val="restart"/>
            <w:vAlign w:val="center"/>
          </w:tcPr>
          <w:p w14:paraId="590187A1" w14:textId="48CE5B90" w:rsidR="00652564" w:rsidRPr="006251A7" w:rsidRDefault="00652564" w:rsidP="00652564">
            <w:pPr>
              <w:pStyle w:val="TableParagraph"/>
              <w:keepLines/>
              <w:widowControl/>
              <w:spacing w:line="268" w:lineRule="auto"/>
              <w:ind w:left="60"/>
              <w:rPr>
                <w:rFonts w:asciiTheme="minorHAnsi" w:hAnsiTheme="minorHAnsi" w:cstheme="minorHAnsi"/>
                <w:b/>
                <w:spacing w:val="-2"/>
                <w:sz w:val="18"/>
                <w:szCs w:val="18"/>
              </w:rPr>
            </w:pPr>
            <w:r w:rsidRPr="006251A7">
              <w:rPr>
                <w:rFonts w:asciiTheme="minorHAnsi" w:hAnsiTheme="minorHAnsi" w:cstheme="minorHAnsi"/>
                <w:b/>
                <w:spacing w:val="-2"/>
                <w:sz w:val="18"/>
                <w:szCs w:val="18"/>
              </w:rPr>
              <w:t>Performance adjustments and measurement</w:t>
            </w:r>
          </w:p>
        </w:tc>
        <w:tc>
          <w:tcPr>
            <w:tcW w:w="2217" w:type="dxa"/>
          </w:tcPr>
          <w:p w14:paraId="2ABD08DA" w14:textId="5A5DFA13" w:rsidR="00652564" w:rsidRPr="006251A7" w:rsidRDefault="00652564" w:rsidP="00652564">
            <w:pPr>
              <w:pStyle w:val="TableParagraph"/>
              <w:keepLines/>
              <w:widowControl/>
              <w:spacing w:line="207" w:lineRule="exact"/>
              <w:ind w:left="104"/>
              <w:rPr>
                <w:rFonts w:asciiTheme="minorHAnsi" w:hAnsiTheme="minorHAnsi" w:cstheme="minorHAnsi"/>
                <w:sz w:val="18"/>
                <w:szCs w:val="18"/>
              </w:rPr>
            </w:pPr>
            <w:r w:rsidRPr="006251A7">
              <w:rPr>
                <w:rFonts w:asciiTheme="minorHAnsi" w:hAnsiTheme="minorHAnsi" w:cstheme="minorHAnsi"/>
                <w:sz w:val="18"/>
                <w:szCs w:val="18"/>
              </w:rPr>
              <w:t>ROE adjustment mechanisms</w:t>
            </w:r>
          </w:p>
        </w:tc>
        <w:tc>
          <w:tcPr>
            <w:tcW w:w="971" w:type="dxa"/>
            <w:gridSpan w:val="2"/>
          </w:tcPr>
          <w:p w14:paraId="3109531C" w14:textId="0FD286EC" w:rsidR="00652564" w:rsidRPr="006251A7" w:rsidRDefault="00652564" w:rsidP="00652564">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0</w:t>
            </w:r>
          </w:p>
        </w:tc>
        <w:tc>
          <w:tcPr>
            <w:tcW w:w="3296" w:type="dxa"/>
          </w:tcPr>
          <w:p w14:paraId="4DC630B0" w14:textId="059E7F64" w:rsidR="00652564" w:rsidRPr="006251A7" w:rsidRDefault="00652564" w:rsidP="00652564">
            <w:pPr>
              <w:pStyle w:val="TableParagraph"/>
              <w:keepLines/>
              <w:widowControl/>
              <w:rPr>
                <w:rFonts w:asciiTheme="minorHAnsi" w:hAnsiTheme="minorHAnsi" w:cstheme="minorHAnsi"/>
                <w:sz w:val="18"/>
                <w:szCs w:val="18"/>
              </w:rPr>
            </w:pPr>
          </w:p>
        </w:tc>
        <w:tc>
          <w:tcPr>
            <w:tcW w:w="4534" w:type="dxa"/>
          </w:tcPr>
          <w:p w14:paraId="4746AFC5" w14:textId="0AAB5030" w:rsidR="00652564" w:rsidRPr="006251A7" w:rsidRDefault="00652564" w:rsidP="00652564">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 xml:space="preserve">Electric utilities are not subject to the revenue adjustment  decoupling mechanism that can help to address the throughput incentive that disincentivizes reducing demand through energy efficiency initiatives. When authorized revenue and profit are set, electric utilities are still driven to increase sales to create profit within range of those revenue requirements even with current earnings sharing requirements. The existing throughput incentive disincentivizes the maximization of savings for customers through energy efficiency initiatives. </w:t>
            </w:r>
          </w:p>
        </w:tc>
      </w:tr>
      <w:tr w:rsidR="00652564" w:rsidRPr="006251A7" w14:paraId="1471EFFC" w14:textId="77777777" w:rsidTr="2539CAE0">
        <w:tc>
          <w:tcPr>
            <w:tcW w:w="1945" w:type="dxa"/>
            <w:vMerge/>
          </w:tcPr>
          <w:p w14:paraId="793746CD" w14:textId="77777777" w:rsidR="00652564" w:rsidRPr="006251A7" w:rsidRDefault="00652564" w:rsidP="00652564">
            <w:pPr>
              <w:pStyle w:val="TableParagraph"/>
              <w:keepLines/>
              <w:widowControl/>
              <w:spacing w:line="268" w:lineRule="auto"/>
              <w:ind w:left="60"/>
              <w:rPr>
                <w:rFonts w:asciiTheme="minorHAnsi" w:hAnsiTheme="minorHAnsi" w:cstheme="minorHAnsi"/>
                <w:b/>
                <w:spacing w:val="-2"/>
                <w:sz w:val="18"/>
                <w:szCs w:val="18"/>
              </w:rPr>
            </w:pPr>
          </w:p>
        </w:tc>
        <w:tc>
          <w:tcPr>
            <w:tcW w:w="2217" w:type="dxa"/>
          </w:tcPr>
          <w:p w14:paraId="58A41A03" w14:textId="68B4CA94" w:rsidR="00652564" w:rsidRPr="006251A7" w:rsidRDefault="00652564" w:rsidP="00652564">
            <w:pPr>
              <w:pStyle w:val="TableParagraph"/>
              <w:keepLines/>
              <w:widowControl/>
              <w:spacing w:line="207" w:lineRule="exact"/>
              <w:ind w:left="104"/>
              <w:rPr>
                <w:rFonts w:asciiTheme="minorHAnsi" w:hAnsiTheme="minorHAnsi" w:cstheme="minorHAnsi"/>
                <w:sz w:val="18"/>
                <w:szCs w:val="18"/>
              </w:rPr>
            </w:pPr>
            <w:r w:rsidRPr="006251A7">
              <w:rPr>
                <w:rFonts w:asciiTheme="minorHAnsi" w:hAnsiTheme="minorHAnsi" w:cstheme="minorHAnsi"/>
                <w:sz w:val="18"/>
                <w:szCs w:val="18"/>
              </w:rPr>
              <w:t>Energy efficiency savings target (ROE adder applied to DSN operating expenses)</w:t>
            </w:r>
          </w:p>
        </w:tc>
        <w:tc>
          <w:tcPr>
            <w:tcW w:w="971" w:type="dxa"/>
            <w:gridSpan w:val="2"/>
          </w:tcPr>
          <w:p w14:paraId="2A86C287" w14:textId="0FD46AC2" w:rsidR="00652564" w:rsidRPr="006251A7" w:rsidRDefault="00652564" w:rsidP="00652564">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0</w:t>
            </w:r>
          </w:p>
        </w:tc>
        <w:tc>
          <w:tcPr>
            <w:tcW w:w="3296" w:type="dxa"/>
          </w:tcPr>
          <w:p w14:paraId="0EE17BEE" w14:textId="2A0AC9AE" w:rsidR="00652564" w:rsidRPr="006251A7" w:rsidRDefault="00652564" w:rsidP="00652564">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The existing</w:t>
            </w:r>
            <w:r w:rsidR="00172D72" w:rsidRPr="006251A7">
              <w:rPr>
                <w:rFonts w:asciiTheme="minorHAnsi" w:hAnsiTheme="minorHAnsi" w:cstheme="minorHAnsi"/>
                <w:sz w:val="18"/>
                <w:szCs w:val="18"/>
              </w:rPr>
              <w:t xml:space="preserve"> EERS </w:t>
            </w:r>
            <w:r w:rsidR="001A57DB" w:rsidRPr="006251A7">
              <w:rPr>
                <w:rFonts w:asciiTheme="minorHAnsi" w:hAnsiTheme="minorHAnsi" w:cstheme="minorHAnsi"/>
                <w:sz w:val="18"/>
                <w:szCs w:val="18"/>
              </w:rPr>
              <w:t xml:space="preserve">has created a statutory requirement for electric utilities to increase the amount of energy efficiency savings it provides to customers and some savings have matriculated to customers from these programs; however, </w:t>
            </w:r>
            <w:r w:rsidR="00165A36">
              <w:rPr>
                <w:rFonts w:asciiTheme="minorHAnsi" w:hAnsiTheme="minorHAnsi" w:cstheme="minorHAnsi"/>
                <w:sz w:val="18"/>
                <w:szCs w:val="18"/>
              </w:rPr>
              <w:t xml:space="preserve">under the existing regulatory framework </w:t>
            </w:r>
            <w:r w:rsidR="001A57DB" w:rsidRPr="006251A7">
              <w:rPr>
                <w:rFonts w:asciiTheme="minorHAnsi" w:hAnsiTheme="minorHAnsi" w:cstheme="minorHAnsi"/>
                <w:sz w:val="18"/>
                <w:szCs w:val="18"/>
              </w:rPr>
              <w:t>the utility has e</w:t>
            </w:r>
            <w:r w:rsidR="006F14AF">
              <w:rPr>
                <w:rFonts w:asciiTheme="minorHAnsi" w:hAnsiTheme="minorHAnsi" w:cstheme="minorHAnsi"/>
                <w:sz w:val="18"/>
                <w:szCs w:val="18"/>
              </w:rPr>
              <w:t>x</w:t>
            </w:r>
            <w:r w:rsidR="001A57DB" w:rsidRPr="006251A7">
              <w:rPr>
                <w:rFonts w:asciiTheme="minorHAnsi" w:hAnsiTheme="minorHAnsi" w:cstheme="minorHAnsi"/>
                <w:sz w:val="18"/>
                <w:szCs w:val="18"/>
              </w:rPr>
              <w:t>ceedingly underperformed under the E</w:t>
            </w:r>
            <w:r w:rsidR="006F14AF">
              <w:rPr>
                <w:rFonts w:asciiTheme="minorHAnsi" w:hAnsiTheme="minorHAnsi" w:cstheme="minorHAnsi"/>
                <w:sz w:val="18"/>
                <w:szCs w:val="18"/>
              </w:rPr>
              <w:t>E</w:t>
            </w:r>
            <w:r w:rsidR="001A57DB" w:rsidRPr="006251A7">
              <w:rPr>
                <w:rFonts w:asciiTheme="minorHAnsi" w:hAnsiTheme="minorHAnsi" w:cstheme="minorHAnsi"/>
                <w:sz w:val="18"/>
                <w:szCs w:val="18"/>
              </w:rPr>
              <w:t xml:space="preserve">RS. For example, for a utility of its scale, </w:t>
            </w:r>
            <w:r w:rsidRPr="006251A7">
              <w:rPr>
                <w:rFonts w:asciiTheme="minorHAnsi" w:hAnsiTheme="minorHAnsi" w:cstheme="minorHAnsi"/>
                <w:sz w:val="18"/>
                <w:szCs w:val="18"/>
              </w:rPr>
              <w:t xml:space="preserve">Dominion </w:t>
            </w:r>
            <w:r w:rsidR="00C76F92" w:rsidRPr="006251A7">
              <w:rPr>
                <w:rFonts w:asciiTheme="minorHAnsi" w:hAnsiTheme="minorHAnsi" w:cstheme="minorHAnsi"/>
                <w:sz w:val="18"/>
                <w:szCs w:val="18"/>
              </w:rPr>
              <w:t>Energy</w:t>
            </w:r>
            <w:r w:rsidRPr="006251A7">
              <w:rPr>
                <w:rFonts w:asciiTheme="minorHAnsi" w:hAnsiTheme="minorHAnsi" w:cstheme="minorHAnsi"/>
                <w:sz w:val="18"/>
                <w:szCs w:val="18"/>
              </w:rPr>
              <w:t xml:space="preserve"> </w:t>
            </w:r>
            <w:r w:rsidR="001A57DB" w:rsidRPr="006251A7">
              <w:rPr>
                <w:rFonts w:asciiTheme="minorHAnsi" w:hAnsiTheme="minorHAnsi" w:cstheme="minorHAnsi"/>
                <w:sz w:val="18"/>
                <w:szCs w:val="18"/>
              </w:rPr>
              <w:t xml:space="preserve">has underperformed under the EERS and failed to meet </w:t>
            </w:r>
            <w:r w:rsidR="00C76F92" w:rsidRPr="006251A7">
              <w:rPr>
                <w:rFonts w:asciiTheme="minorHAnsi" w:hAnsiTheme="minorHAnsi" w:cstheme="minorHAnsi"/>
                <w:sz w:val="18"/>
                <w:szCs w:val="18"/>
              </w:rPr>
              <w:t>the required</w:t>
            </w:r>
            <w:r w:rsidR="001A57DB" w:rsidRPr="006251A7">
              <w:rPr>
                <w:rFonts w:asciiTheme="minorHAnsi" w:hAnsiTheme="minorHAnsi" w:cstheme="minorHAnsi"/>
                <w:sz w:val="18"/>
                <w:szCs w:val="18"/>
              </w:rPr>
              <w:t xml:space="preserve"> EERS</w:t>
            </w:r>
            <w:r w:rsidR="006F14AF">
              <w:rPr>
                <w:rFonts w:asciiTheme="minorHAnsi" w:hAnsiTheme="minorHAnsi" w:cstheme="minorHAnsi"/>
                <w:sz w:val="18"/>
                <w:szCs w:val="18"/>
              </w:rPr>
              <w:t xml:space="preserve"> targets</w:t>
            </w:r>
            <w:r w:rsidR="00EA3CC9" w:rsidRPr="006251A7">
              <w:rPr>
                <w:rFonts w:asciiTheme="minorHAnsi" w:hAnsiTheme="minorHAnsi" w:cstheme="minorHAnsi"/>
                <w:sz w:val="18"/>
                <w:szCs w:val="18"/>
              </w:rPr>
              <w:t xml:space="preserve">. Neither the positive performance incentive (ROE adder) or the disincentive for underperformance that bars capital investments in new power plants are sufficient </w:t>
            </w:r>
            <w:r w:rsidR="00380DC0" w:rsidRPr="006251A7">
              <w:rPr>
                <w:rFonts w:asciiTheme="minorHAnsi" w:hAnsiTheme="minorHAnsi" w:cstheme="minorHAnsi"/>
                <w:sz w:val="18"/>
                <w:szCs w:val="18"/>
              </w:rPr>
              <w:t xml:space="preserve">for making the electric utilities simply meet the EERS targets let alone supersede them. </w:t>
            </w:r>
          </w:p>
        </w:tc>
        <w:tc>
          <w:tcPr>
            <w:tcW w:w="4534" w:type="dxa"/>
          </w:tcPr>
          <w:p w14:paraId="7B5C067D" w14:textId="77777777" w:rsidR="00652564" w:rsidRPr="006251A7" w:rsidRDefault="00652564" w:rsidP="00652564">
            <w:pPr>
              <w:pStyle w:val="TableParagraph"/>
              <w:keepLines/>
              <w:widowControl/>
              <w:rPr>
                <w:rFonts w:asciiTheme="minorHAnsi" w:hAnsiTheme="minorHAnsi" w:cstheme="minorHAnsi"/>
                <w:sz w:val="18"/>
                <w:szCs w:val="18"/>
              </w:rPr>
            </w:pPr>
          </w:p>
        </w:tc>
      </w:tr>
      <w:tr w:rsidR="00172D72" w:rsidRPr="006251A7" w14:paraId="60AB1906" w14:textId="77777777" w:rsidTr="2539CAE0">
        <w:tc>
          <w:tcPr>
            <w:tcW w:w="1945" w:type="dxa"/>
            <w:vMerge/>
          </w:tcPr>
          <w:p w14:paraId="7C1E7A21" w14:textId="74B2FD2F" w:rsidR="00172D72" w:rsidRPr="006251A7" w:rsidRDefault="00172D72" w:rsidP="00172D72">
            <w:pPr>
              <w:pStyle w:val="TableParagraph"/>
              <w:keepLines/>
              <w:widowControl/>
              <w:spacing w:line="268" w:lineRule="auto"/>
              <w:ind w:left="60"/>
              <w:rPr>
                <w:rFonts w:asciiTheme="minorHAnsi" w:hAnsiTheme="minorHAnsi" w:cstheme="minorHAnsi"/>
                <w:b/>
                <w:spacing w:val="-2"/>
                <w:sz w:val="18"/>
                <w:szCs w:val="18"/>
              </w:rPr>
            </w:pPr>
          </w:p>
        </w:tc>
        <w:tc>
          <w:tcPr>
            <w:tcW w:w="2217" w:type="dxa"/>
          </w:tcPr>
          <w:p w14:paraId="38404085" w14:textId="3D2F3854" w:rsidR="00172D72" w:rsidRPr="006251A7" w:rsidRDefault="00172D72" w:rsidP="00172D72">
            <w:pPr>
              <w:pStyle w:val="TableParagraph"/>
              <w:keepLines/>
              <w:widowControl/>
              <w:spacing w:line="207" w:lineRule="exact"/>
              <w:ind w:left="104"/>
              <w:rPr>
                <w:rFonts w:asciiTheme="minorHAnsi" w:hAnsiTheme="minorHAnsi" w:cstheme="minorHAnsi"/>
                <w:sz w:val="18"/>
                <w:szCs w:val="18"/>
              </w:rPr>
            </w:pPr>
            <w:r w:rsidRPr="006251A7">
              <w:rPr>
                <w:rFonts w:asciiTheme="minorHAnsi" w:hAnsiTheme="minorHAnsi" w:cstheme="minorHAnsi"/>
                <w:sz w:val="18"/>
                <w:szCs w:val="18"/>
              </w:rPr>
              <w:t>Performance mechanisms (e.g., metrics, scorecards, PIMS), including Case No. PUR-2023-00210</w:t>
            </w:r>
          </w:p>
        </w:tc>
        <w:tc>
          <w:tcPr>
            <w:tcW w:w="971" w:type="dxa"/>
            <w:gridSpan w:val="2"/>
          </w:tcPr>
          <w:p w14:paraId="13F803F6" w14:textId="2A8F0453" w:rsidR="00B86783" w:rsidRPr="006251A7" w:rsidRDefault="00172D72" w:rsidP="00172D72">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0</w:t>
            </w:r>
          </w:p>
        </w:tc>
        <w:tc>
          <w:tcPr>
            <w:tcW w:w="3296" w:type="dxa"/>
          </w:tcPr>
          <w:p w14:paraId="2CBCBF72" w14:textId="3C01103E" w:rsidR="00172D72" w:rsidRPr="006251A7" w:rsidRDefault="00165A36" w:rsidP="00172D72">
            <w:pPr>
              <w:pStyle w:val="TableParagraph"/>
              <w:keepLines/>
              <w:widowControl/>
              <w:rPr>
                <w:rFonts w:asciiTheme="minorHAnsi" w:hAnsiTheme="minorHAnsi" w:cstheme="minorHAnsi"/>
                <w:sz w:val="18"/>
                <w:szCs w:val="18"/>
              </w:rPr>
            </w:pPr>
            <w:r>
              <w:rPr>
                <w:rFonts w:asciiTheme="minorHAnsi" w:hAnsiTheme="minorHAnsi" w:cstheme="minorHAnsi"/>
                <w:sz w:val="18"/>
                <w:szCs w:val="18"/>
              </w:rPr>
              <w:t>Under the existing framework, t</w:t>
            </w:r>
            <w:r w:rsidR="00172D72" w:rsidRPr="006251A7">
              <w:rPr>
                <w:rFonts w:asciiTheme="minorHAnsi" w:hAnsiTheme="minorHAnsi" w:cstheme="minorHAnsi"/>
                <w:sz w:val="18"/>
                <w:szCs w:val="18"/>
              </w:rPr>
              <w:t xml:space="preserve">he existing ROE adder applied to DSM operating expenses is not sufficient to incentive the outcome of maximizing energy efficiency savings – utilities particularly Dominion Energy, have not met and nor </w:t>
            </w:r>
            <w:r w:rsidR="006F14AF">
              <w:rPr>
                <w:rFonts w:asciiTheme="minorHAnsi" w:hAnsiTheme="minorHAnsi" w:cstheme="minorHAnsi"/>
                <w:sz w:val="18"/>
                <w:szCs w:val="18"/>
              </w:rPr>
              <w:t xml:space="preserve">are </w:t>
            </w:r>
            <w:r w:rsidR="00172D72" w:rsidRPr="006251A7">
              <w:rPr>
                <w:rFonts w:asciiTheme="minorHAnsi" w:hAnsiTheme="minorHAnsi" w:cstheme="minorHAnsi"/>
                <w:sz w:val="18"/>
                <w:szCs w:val="18"/>
              </w:rPr>
              <w:t xml:space="preserve">exceeding energy efficiency target requirements. </w:t>
            </w:r>
          </w:p>
        </w:tc>
        <w:tc>
          <w:tcPr>
            <w:tcW w:w="4534" w:type="dxa"/>
          </w:tcPr>
          <w:p w14:paraId="60095267" w14:textId="77777777" w:rsidR="00172D72" w:rsidRPr="006251A7" w:rsidRDefault="00172D72" w:rsidP="00172D72">
            <w:pPr>
              <w:pStyle w:val="TableParagraph"/>
              <w:keepLines/>
              <w:widowControl/>
              <w:rPr>
                <w:rFonts w:asciiTheme="minorHAnsi" w:hAnsiTheme="minorHAnsi" w:cstheme="minorHAnsi"/>
                <w:sz w:val="18"/>
                <w:szCs w:val="18"/>
              </w:rPr>
            </w:pPr>
          </w:p>
        </w:tc>
      </w:tr>
      <w:tr w:rsidR="00172D72" w:rsidRPr="006251A7" w14:paraId="3AB55596" w14:textId="77777777" w:rsidTr="2539CAE0">
        <w:trPr>
          <w:cantSplit/>
        </w:trPr>
        <w:tc>
          <w:tcPr>
            <w:tcW w:w="1945" w:type="dxa"/>
            <w:vMerge w:val="restart"/>
            <w:vAlign w:val="center"/>
          </w:tcPr>
          <w:p w14:paraId="1EEBF2B1" w14:textId="35FE5C34" w:rsidR="00172D72" w:rsidRPr="006251A7" w:rsidRDefault="00172D72" w:rsidP="00172D72">
            <w:pPr>
              <w:pStyle w:val="TableParagraph"/>
              <w:keepLines/>
              <w:widowControl/>
              <w:spacing w:line="268" w:lineRule="auto"/>
              <w:ind w:left="60"/>
              <w:rPr>
                <w:rFonts w:asciiTheme="minorHAnsi" w:hAnsiTheme="minorHAnsi" w:cstheme="minorHAnsi"/>
                <w:b/>
                <w:spacing w:val="-2"/>
                <w:sz w:val="18"/>
                <w:szCs w:val="18"/>
              </w:rPr>
            </w:pPr>
            <w:r w:rsidRPr="006251A7">
              <w:rPr>
                <w:rFonts w:asciiTheme="minorHAnsi" w:hAnsiTheme="minorHAnsi" w:cstheme="minorHAnsi"/>
                <w:b/>
                <w:spacing w:val="-2"/>
                <w:sz w:val="18"/>
                <w:szCs w:val="18"/>
              </w:rPr>
              <w:t>Other ratemaking and regulatory features</w:t>
            </w:r>
          </w:p>
        </w:tc>
        <w:tc>
          <w:tcPr>
            <w:tcW w:w="2217" w:type="dxa"/>
          </w:tcPr>
          <w:p w14:paraId="5CCA3F46" w14:textId="18B56AAF" w:rsidR="00172D72" w:rsidRPr="006251A7" w:rsidRDefault="00172D72" w:rsidP="00172D72">
            <w:pPr>
              <w:pStyle w:val="TableParagraph"/>
              <w:keepLines/>
              <w:widowControl/>
              <w:spacing w:line="207" w:lineRule="exact"/>
              <w:ind w:left="104"/>
              <w:rPr>
                <w:rFonts w:asciiTheme="minorHAnsi" w:hAnsiTheme="minorHAnsi" w:cstheme="minorHAnsi"/>
                <w:sz w:val="18"/>
                <w:szCs w:val="18"/>
              </w:rPr>
            </w:pPr>
            <w:r w:rsidRPr="006251A7">
              <w:rPr>
                <w:rFonts w:asciiTheme="minorHAnsi" w:hAnsiTheme="minorHAnsi" w:cstheme="minorHAnsi"/>
                <w:sz w:val="18"/>
                <w:szCs w:val="18"/>
              </w:rPr>
              <w:t>IRPs</w:t>
            </w:r>
          </w:p>
        </w:tc>
        <w:tc>
          <w:tcPr>
            <w:tcW w:w="971" w:type="dxa"/>
            <w:gridSpan w:val="2"/>
          </w:tcPr>
          <w:p w14:paraId="55EA4B80" w14:textId="035C2B0B" w:rsidR="00172D72" w:rsidRPr="006251A7" w:rsidRDefault="00172D72" w:rsidP="00172D72">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w:t>
            </w:r>
            <w:r w:rsidR="00DF0C4F" w:rsidRPr="006251A7">
              <w:rPr>
                <w:rFonts w:asciiTheme="minorHAnsi" w:hAnsiTheme="minorHAnsi" w:cstheme="minorHAnsi"/>
                <w:sz w:val="18"/>
                <w:szCs w:val="18"/>
              </w:rPr>
              <w:t>/</w:t>
            </w:r>
            <w:r w:rsidR="00165A36">
              <w:rPr>
                <w:rFonts w:asciiTheme="minorHAnsi" w:hAnsiTheme="minorHAnsi" w:cstheme="minorHAnsi"/>
                <w:sz w:val="18"/>
                <w:szCs w:val="18"/>
              </w:rPr>
              <w:t>+</w:t>
            </w:r>
          </w:p>
        </w:tc>
        <w:tc>
          <w:tcPr>
            <w:tcW w:w="3296" w:type="dxa"/>
          </w:tcPr>
          <w:p w14:paraId="185F5CFF" w14:textId="23031948" w:rsidR="00172D72" w:rsidRPr="006251A7" w:rsidRDefault="00DF0C4F" w:rsidP="00172D72">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 xml:space="preserve">Depending on how electric utilities forecast demand and propose to meet existing and forecasted demand in their integrated resource plans, energy efficiency can be back seated as a priority resource to meet energy demands when laid alongside other resources that generate more revenue and profit for electric utilities and do not undercut electric sales. </w:t>
            </w:r>
          </w:p>
        </w:tc>
        <w:tc>
          <w:tcPr>
            <w:tcW w:w="4534" w:type="dxa"/>
          </w:tcPr>
          <w:p w14:paraId="1D7F60E8" w14:textId="77777777" w:rsidR="00172D72" w:rsidRPr="006251A7" w:rsidRDefault="00172D72" w:rsidP="00172D72">
            <w:pPr>
              <w:pStyle w:val="TableParagraph"/>
              <w:keepLines/>
              <w:widowControl/>
              <w:rPr>
                <w:rFonts w:asciiTheme="minorHAnsi" w:hAnsiTheme="minorHAnsi" w:cstheme="minorHAnsi"/>
                <w:sz w:val="18"/>
                <w:szCs w:val="18"/>
              </w:rPr>
            </w:pPr>
          </w:p>
        </w:tc>
      </w:tr>
      <w:tr w:rsidR="00172D72" w:rsidRPr="006251A7" w14:paraId="513C320E" w14:textId="77777777" w:rsidTr="2539CAE0">
        <w:trPr>
          <w:cantSplit/>
        </w:trPr>
        <w:tc>
          <w:tcPr>
            <w:tcW w:w="1945" w:type="dxa"/>
            <w:vMerge/>
          </w:tcPr>
          <w:p w14:paraId="5DC3121C" w14:textId="77777777" w:rsidR="00172D72" w:rsidRPr="006251A7" w:rsidRDefault="00172D72" w:rsidP="00172D72">
            <w:pPr>
              <w:pStyle w:val="TableParagraph"/>
              <w:keepLines/>
              <w:widowControl/>
              <w:spacing w:line="268" w:lineRule="auto"/>
              <w:ind w:left="60"/>
              <w:rPr>
                <w:rFonts w:asciiTheme="minorHAnsi" w:hAnsiTheme="minorHAnsi" w:cstheme="minorHAnsi"/>
                <w:b/>
                <w:spacing w:val="-2"/>
                <w:sz w:val="18"/>
                <w:szCs w:val="18"/>
              </w:rPr>
            </w:pPr>
          </w:p>
        </w:tc>
        <w:tc>
          <w:tcPr>
            <w:tcW w:w="2217" w:type="dxa"/>
          </w:tcPr>
          <w:p w14:paraId="1F9AA945" w14:textId="2E8DE4EB" w:rsidR="00172D72" w:rsidRPr="006251A7" w:rsidRDefault="00172D72" w:rsidP="00172D72">
            <w:pPr>
              <w:pStyle w:val="TableParagraph"/>
              <w:keepLines/>
              <w:widowControl/>
              <w:spacing w:line="207" w:lineRule="exact"/>
              <w:ind w:left="104"/>
              <w:rPr>
                <w:rFonts w:asciiTheme="minorHAnsi" w:hAnsiTheme="minorHAnsi" w:cstheme="minorHAnsi"/>
                <w:sz w:val="18"/>
                <w:szCs w:val="18"/>
              </w:rPr>
            </w:pPr>
            <w:r w:rsidRPr="006251A7">
              <w:rPr>
                <w:rFonts w:asciiTheme="minorHAnsi" w:hAnsiTheme="minorHAnsi" w:cstheme="minorHAnsi"/>
                <w:sz w:val="18"/>
                <w:szCs w:val="18"/>
              </w:rPr>
              <w:t>Certificates of Public Need and Necessity (CPCN)</w:t>
            </w:r>
          </w:p>
        </w:tc>
        <w:tc>
          <w:tcPr>
            <w:tcW w:w="971" w:type="dxa"/>
            <w:gridSpan w:val="2"/>
          </w:tcPr>
          <w:p w14:paraId="0B5C8187" w14:textId="5FC6784C" w:rsidR="00172D72" w:rsidRPr="006251A7" w:rsidRDefault="00172D72" w:rsidP="00172D72">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w:t>
            </w:r>
          </w:p>
        </w:tc>
        <w:tc>
          <w:tcPr>
            <w:tcW w:w="3296" w:type="dxa"/>
          </w:tcPr>
          <w:p w14:paraId="76E1DA20" w14:textId="622D60B3" w:rsidR="00172D72" w:rsidRPr="006251A7" w:rsidRDefault="00802941" w:rsidP="00172D72">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The</w:t>
            </w:r>
            <w:r w:rsidR="00D001B5" w:rsidRPr="006251A7">
              <w:rPr>
                <w:rFonts w:asciiTheme="minorHAnsi" w:hAnsiTheme="minorHAnsi" w:cstheme="minorHAnsi"/>
                <w:sz w:val="18"/>
                <w:szCs w:val="18"/>
              </w:rPr>
              <w:t>re is the</w:t>
            </w:r>
            <w:r w:rsidRPr="006251A7">
              <w:rPr>
                <w:rFonts w:asciiTheme="minorHAnsi" w:hAnsiTheme="minorHAnsi" w:cstheme="minorHAnsi"/>
                <w:sz w:val="18"/>
                <w:szCs w:val="18"/>
              </w:rPr>
              <w:t xml:space="preserve"> existing </w:t>
            </w:r>
            <w:r w:rsidR="00D001B5" w:rsidRPr="006251A7">
              <w:rPr>
                <w:rFonts w:asciiTheme="minorHAnsi" w:hAnsiTheme="minorHAnsi" w:cstheme="minorHAnsi"/>
                <w:sz w:val="18"/>
                <w:szCs w:val="18"/>
              </w:rPr>
              <w:t xml:space="preserve">EERS negative </w:t>
            </w:r>
            <w:r w:rsidR="006F14AF">
              <w:rPr>
                <w:rFonts w:asciiTheme="minorHAnsi" w:hAnsiTheme="minorHAnsi" w:cstheme="minorHAnsi"/>
                <w:sz w:val="18"/>
                <w:szCs w:val="18"/>
              </w:rPr>
              <w:t>dis</w:t>
            </w:r>
            <w:r w:rsidR="00D001B5" w:rsidRPr="006251A7">
              <w:rPr>
                <w:rFonts w:asciiTheme="minorHAnsi" w:hAnsiTheme="minorHAnsi" w:cstheme="minorHAnsi"/>
                <w:sz w:val="18"/>
                <w:szCs w:val="18"/>
              </w:rPr>
              <w:t>incentive</w:t>
            </w:r>
            <w:r w:rsidRPr="006251A7">
              <w:rPr>
                <w:rFonts w:asciiTheme="minorHAnsi" w:hAnsiTheme="minorHAnsi" w:cstheme="minorHAnsi"/>
                <w:sz w:val="18"/>
                <w:szCs w:val="18"/>
              </w:rPr>
              <w:t xml:space="preserve"> barring the construction of new power plants </w:t>
            </w:r>
            <w:r w:rsidR="00D001B5" w:rsidRPr="006251A7">
              <w:rPr>
                <w:rFonts w:asciiTheme="minorHAnsi" w:hAnsiTheme="minorHAnsi" w:cstheme="minorHAnsi"/>
                <w:sz w:val="18"/>
                <w:szCs w:val="18"/>
              </w:rPr>
              <w:t xml:space="preserve">(i.e.; attaining CPCN from SCC). This disincentive, which requires that </w:t>
            </w:r>
            <w:r w:rsidRPr="006251A7">
              <w:rPr>
                <w:rFonts w:asciiTheme="minorHAnsi" w:hAnsiTheme="minorHAnsi" w:cstheme="minorHAnsi"/>
                <w:sz w:val="18"/>
                <w:szCs w:val="18"/>
              </w:rPr>
              <w:t>in the instance that electric utilities do not meet energy efficiency</w:t>
            </w:r>
            <w:r w:rsidR="00D001B5" w:rsidRPr="006251A7">
              <w:rPr>
                <w:rFonts w:asciiTheme="minorHAnsi" w:hAnsiTheme="minorHAnsi" w:cstheme="minorHAnsi"/>
                <w:sz w:val="18"/>
                <w:szCs w:val="18"/>
              </w:rPr>
              <w:t xml:space="preserve"> they cannot construct new facilities,</w:t>
            </w:r>
            <w:r w:rsidRPr="006251A7">
              <w:rPr>
                <w:rFonts w:asciiTheme="minorHAnsi" w:hAnsiTheme="minorHAnsi" w:cstheme="minorHAnsi"/>
                <w:sz w:val="18"/>
                <w:szCs w:val="18"/>
              </w:rPr>
              <w:t xml:space="preserve"> is not strong enough </w:t>
            </w:r>
            <w:r w:rsidR="00D001B5" w:rsidRPr="006251A7">
              <w:rPr>
                <w:rFonts w:asciiTheme="minorHAnsi" w:hAnsiTheme="minorHAnsi" w:cstheme="minorHAnsi"/>
                <w:sz w:val="18"/>
                <w:szCs w:val="18"/>
              </w:rPr>
              <w:t>to</w:t>
            </w:r>
            <w:r w:rsidRPr="006251A7">
              <w:rPr>
                <w:rFonts w:asciiTheme="minorHAnsi" w:hAnsiTheme="minorHAnsi" w:cstheme="minorHAnsi"/>
                <w:sz w:val="18"/>
                <w:szCs w:val="18"/>
              </w:rPr>
              <w:t xml:space="preserve"> encourage </w:t>
            </w:r>
            <w:r w:rsidR="00D001B5" w:rsidRPr="006251A7">
              <w:rPr>
                <w:rFonts w:asciiTheme="minorHAnsi" w:hAnsiTheme="minorHAnsi" w:cstheme="minorHAnsi"/>
                <w:sz w:val="18"/>
                <w:szCs w:val="18"/>
              </w:rPr>
              <w:t xml:space="preserve">utilities to even meet the EERS targets, let alone exceed them. The electric utilities do not respond to this CPCN negative </w:t>
            </w:r>
            <w:r w:rsidR="006F14AF">
              <w:rPr>
                <w:rFonts w:asciiTheme="minorHAnsi" w:hAnsiTheme="minorHAnsi" w:cstheme="minorHAnsi"/>
                <w:sz w:val="18"/>
                <w:szCs w:val="18"/>
              </w:rPr>
              <w:t xml:space="preserve">performance mechanism </w:t>
            </w:r>
            <w:r w:rsidR="00251921" w:rsidRPr="006251A7">
              <w:rPr>
                <w:rFonts w:asciiTheme="minorHAnsi" w:hAnsiTheme="minorHAnsi" w:cstheme="minorHAnsi"/>
                <w:sz w:val="18"/>
                <w:szCs w:val="18"/>
              </w:rPr>
              <w:t>with greater investments in energy efficiency and still proceeded to go after a new CPCN</w:t>
            </w:r>
            <w:r w:rsidR="006F14AF">
              <w:rPr>
                <w:rFonts w:asciiTheme="minorHAnsi" w:hAnsiTheme="minorHAnsi" w:cstheme="minorHAnsi"/>
                <w:sz w:val="18"/>
                <w:szCs w:val="18"/>
              </w:rPr>
              <w:t xml:space="preserve"> recently for a power plant</w:t>
            </w:r>
            <w:r w:rsidR="00251921" w:rsidRPr="006251A7">
              <w:rPr>
                <w:rFonts w:asciiTheme="minorHAnsi" w:hAnsiTheme="minorHAnsi" w:cstheme="minorHAnsi"/>
                <w:sz w:val="18"/>
                <w:szCs w:val="18"/>
              </w:rPr>
              <w:t xml:space="preserve"> given the threshold for CPCN being very </w:t>
            </w:r>
            <w:r w:rsidR="006F14AF">
              <w:rPr>
                <w:rFonts w:asciiTheme="minorHAnsi" w:hAnsiTheme="minorHAnsi" w:cstheme="minorHAnsi"/>
                <w:sz w:val="18"/>
                <w:szCs w:val="18"/>
              </w:rPr>
              <w:t>loosely/</w:t>
            </w:r>
            <w:r w:rsidR="00251921" w:rsidRPr="006251A7">
              <w:rPr>
                <w:rFonts w:asciiTheme="minorHAnsi" w:hAnsiTheme="minorHAnsi" w:cstheme="minorHAnsi"/>
                <w:sz w:val="18"/>
                <w:szCs w:val="18"/>
              </w:rPr>
              <w:t xml:space="preserve">broadly defined as “reliability” </w:t>
            </w:r>
            <w:r w:rsidR="004407DC" w:rsidRPr="006251A7">
              <w:rPr>
                <w:rFonts w:asciiTheme="minorHAnsi" w:hAnsiTheme="minorHAnsi" w:cstheme="minorHAnsi"/>
                <w:sz w:val="18"/>
                <w:szCs w:val="18"/>
              </w:rPr>
              <w:t xml:space="preserve">. This CPCN negative </w:t>
            </w:r>
            <w:r w:rsidR="006F14AF">
              <w:rPr>
                <w:rFonts w:asciiTheme="minorHAnsi" w:hAnsiTheme="minorHAnsi" w:cstheme="minorHAnsi"/>
                <w:sz w:val="18"/>
                <w:szCs w:val="18"/>
              </w:rPr>
              <w:t xml:space="preserve">performance mechanism </w:t>
            </w:r>
            <w:r w:rsidR="004407DC" w:rsidRPr="006251A7">
              <w:rPr>
                <w:rFonts w:asciiTheme="minorHAnsi" w:hAnsiTheme="minorHAnsi" w:cstheme="minorHAnsi"/>
                <w:sz w:val="18"/>
                <w:szCs w:val="18"/>
              </w:rPr>
              <w:t xml:space="preserve">being a fairly low threshold to overcome in this way disincentivizes energy efficiency investments. </w:t>
            </w:r>
            <w:r w:rsidR="00251921" w:rsidRPr="006251A7">
              <w:rPr>
                <w:rFonts w:asciiTheme="minorHAnsi" w:hAnsiTheme="minorHAnsi" w:cstheme="minorHAnsi"/>
                <w:sz w:val="18"/>
                <w:szCs w:val="18"/>
              </w:rPr>
              <w:t xml:space="preserve"> </w:t>
            </w:r>
          </w:p>
        </w:tc>
        <w:tc>
          <w:tcPr>
            <w:tcW w:w="4534" w:type="dxa"/>
          </w:tcPr>
          <w:p w14:paraId="517A05C5" w14:textId="77777777" w:rsidR="00172D72" w:rsidRPr="006251A7" w:rsidRDefault="00172D72" w:rsidP="00172D72">
            <w:pPr>
              <w:pStyle w:val="TableParagraph"/>
              <w:keepLines/>
              <w:widowControl/>
              <w:rPr>
                <w:rFonts w:asciiTheme="minorHAnsi" w:hAnsiTheme="minorHAnsi" w:cstheme="minorHAnsi"/>
                <w:sz w:val="18"/>
                <w:szCs w:val="18"/>
              </w:rPr>
            </w:pPr>
          </w:p>
        </w:tc>
      </w:tr>
      <w:tr w:rsidR="00172D72" w:rsidRPr="006251A7" w14:paraId="4A37840C" w14:textId="77777777" w:rsidTr="2539CAE0">
        <w:trPr>
          <w:cantSplit/>
        </w:trPr>
        <w:tc>
          <w:tcPr>
            <w:tcW w:w="1945" w:type="dxa"/>
            <w:vMerge/>
          </w:tcPr>
          <w:p w14:paraId="1BD8D144" w14:textId="77777777" w:rsidR="00172D72" w:rsidRPr="006251A7" w:rsidRDefault="00172D72" w:rsidP="00172D72">
            <w:pPr>
              <w:pStyle w:val="TableParagraph"/>
              <w:keepLines/>
              <w:widowControl/>
              <w:spacing w:line="268" w:lineRule="auto"/>
              <w:ind w:left="60"/>
              <w:rPr>
                <w:rFonts w:asciiTheme="minorHAnsi" w:hAnsiTheme="minorHAnsi" w:cstheme="minorHAnsi"/>
                <w:b/>
                <w:spacing w:val="-2"/>
                <w:sz w:val="18"/>
                <w:szCs w:val="18"/>
              </w:rPr>
            </w:pPr>
          </w:p>
        </w:tc>
        <w:tc>
          <w:tcPr>
            <w:tcW w:w="2217" w:type="dxa"/>
          </w:tcPr>
          <w:p w14:paraId="67E0E675" w14:textId="471ACD6D" w:rsidR="00172D72" w:rsidRPr="006251A7" w:rsidRDefault="00172D72" w:rsidP="00172D72">
            <w:pPr>
              <w:pStyle w:val="TableParagraph"/>
              <w:keepLines/>
              <w:widowControl/>
              <w:spacing w:line="207" w:lineRule="exact"/>
              <w:ind w:left="104"/>
              <w:rPr>
                <w:rFonts w:asciiTheme="minorHAnsi" w:hAnsiTheme="minorHAnsi" w:cstheme="minorHAnsi"/>
                <w:sz w:val="18"/>
                <w:szCs w:val="18"/>
              </w:rPr>
            </w:pPr>
            <w:r w:rsidRPr="006251A7">
              <w:rPr>
                <w:rFonts w:asciiTheme="minorHAnsi" w:hAnsiTheme="minorHAnsi" w:cstheme="minorHAnsi"/>
                <w:sz w:val="18"/>
                <w:szCs w:val="18"/>
              </w:rPr>
              <w:t>Rate design (including universal service fee)</w:t>
            </w:r>
          </w:p>
        </w:tc>
        <w:tc>
          <w:tcPr>
            <w:tcW w:w="971" w:type="dxa"/>
            <w:gridSpan w:val="2"/>
          </w:tcPr>
          <w:p w14:paraId="39F5FEA8" w14:textId="48BEF986" w:rsidR="00172D72" w:rsidRPr="006251A7" w:rsidRDefault="00172D72" w:rsidP="00172D72">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0</w:t>
            </w:r>
          </w:p>
        </w:tc>
        <w:tc>
          <w:tcPr>
            <w:tcW w:w="3296" w:type="dxa"/>
          </w:tcPr>
          <w:p w14:paraId="2D3738F1" w14:textId="6E78C584" w:rsidR="00172D72" w:rsidRPr="006251A7" w:rsidRDefault="00172D72" w:rsidP="00172D72">
            <w:pPr>
              <w:pStyle w:val="TableParagraph"/>
              <w:keepLines/>
              <w:widowControl/>
              <w:rPr>
                <w:rFonts w:asciiTheme="minorHAnsi" w:hAnsiTheme="minorHAnsi" w:cstheme="minorHAnsi"/>
                <w:sz w:val="18"/>
                <w:szCs w:val="18"/>
              </w:rPr>
            </w:pPr>
          </w:p>
        </w:tc>
        <w:tc>
          <w:tcPr>
            <w:tcW w:w="4534" w:type="dxa"/>
          </w:tcPr>
          <w:p w14:paraId="3A903B16" w14:textId="27DC2639" w:rsidR="00172D72" w:rsidRPr="006251A7" w:rsidRDefault="00172D72" w:rsidP="00172D72">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 xml:space="preserve">Electric utilities are not subject to the revenue adjustment decoupling mechanism that can help to address the throughput incentive that disincentivizes reducing demand through energy efficiency initiatives. When authorized revenue and profit are set, electric utilities are still driven to increase sales to create </w:t>
            </w:r>
            <w:r w:rsidR="006F14AF">
              <w:rPr>
                <w:rFonts w:asciiTheme="minorHAnsi" w:hAnsiTheme="minorHAnsi" w:cstheme="minorHAnsi"/>
                <w:sz w:val="18"/>
                <w:szCs w:val="18"/>
              </w:rPr>
              <w:t xml:space="preserve">more </w:t>
            </w:r>
            <w:r w:rsidRPr="006251A7">
              <w:rPr>
                <w:rFonts w:asciiTheme="minorHAnsi" w:hAnsiTheme="minorHAnsi" w:cstheme="minorHAnsi"/>
                <w:sz w:val="18"/>
                <w:szCs w:val="18"/>
              </w:rPr>
              <w:t>profit</w:t>
            </w:r>
            <w:r w:rsidR="006F14AF">
              <w:rPr>
                <w:rFonts w:asciiTheme="minorHAnsi" w:hAnsiTheme="minorHAnsi" w:cstheme="minorHAnsi"/>
                <w:sz w:val="18"/>
                <w:szCs w:val="18"/>
              </w:rPr>
              <w:t xml:space="preserve"> earnings</w:t>
            </w:r>
            <w:r w:rsidRPr="006251A7">
              <w:rPr>
                <w:rFonts w:asciiTheme="minorHAnsi" w:hAnsiTheme="minorHAnsi" w:cstheme="minorHAnsi"/>
                <w:sz w:val="18"/>
                <w:szCs w:val="18"/>
              </w:rPr>
              <w:t xml:space="preserve"> within range of those revenue requirements even with current earnings sharing requirements. This disincentivizes the maximization of savings for customers through energy efficiency initiatives. There should be consideration of decoupling mechanism for electric utilities and the approaches to rate design therein to remove the disincentive for utilities to </w:t>
            </w:r>
            <w:r w:rsidR="006F14AF">
              <w:rPr>
                <w:rFonts w:asciiTheme="minorHAnsi" w:hAnsiTheme="minorHAnsi" w:cstheme="minorHAnsi"/>
                <w:sz w:val="18"/>
                <w:szCs w:val="18"/>
              </w:rPr>
              <w:t xml:space="preserve">create more </w:t>
            </w:r>
            <w:r w:rsidRPr="006251A7">
              <w:rPr>
                <w:rFonts w:asciiTheme="minorHAnsi" w:hAnsiTheme="minorHAnsi" w:cstheme="minorHAnsi"/>
                <w:sz w:val="18"/>
                <w:szCs w:val="18"/>
              </w:rPr>
              <w:t xml:space="preserve">energy efficiency savings for customers. </w:t>
            </w:r>
          </w:p>
        </w:tc>
      </w:tr>
      <w:tr w:rsidR="00172D72" w:rsidRPr="006251A7" w14:paraId="70B15E51" w14:textId="77777777" w:rsidTr="2539CAE0">
        <w:trPr>
          <w:cantSplit/>
        </w:trPr>
        <w:tc>
          <w:tcPr>
            <w:tcW w:w="1945" w:type="dxa"/>
            <w:vMerge/>
          </w:tcPr>
          <w:p w14:paraId="4ED19E05" w14:textId="77777777" w:rsidR="00172D72" w:rsidRPr="006251A7" w:rsidRDefault="00172D72" w:rsidP="00172D72">
            <w:pPr>
              <w:pStyle w:val="TableParagraph"/>
              <w:keepLines/>
              <w:widowControl/>
              <w:spacing w:line="268" w:lineRule="auto"/>
              <w:ind w:left="60"/>
              <w:rPr>
                <w:rFonts w:asciiTheme="minorHAnsi" w:hAnsiTheme="minorHAnsi" w:cstheme="minorHAnsi"/>
                <w:b/>
                <w:spacing w:val="-2"/>
                <w:sz w:val="18"/>
                <w:szCs w:val="18"/>
              </w:rPr>
            </w:pPr>
          </w:p>
        </w:tc>
        <w:tc>
          <w:tcPr>
            <w:tcW w:w="2217" w:type="dxa"/>
          </w:tcPr>
          <w:p w14:paraId="5AA8019A" w14:textId="38C5E925" w:rsidR="00172D72" w:rsidRPr="006251A7" w:rsidRDefault="00172D72" w:rsidP="00172D72">
            <w:pPr>
              <w:pStyle w:val="TableParagraph"/>
              <w:keepLines/>
              <w:widowControl/>
              <w:spacing w:line="207" w:lineRule="exact"/>
              <w:ind w:left="104"/>
              <w:rPr>
                <w:rFonts w:asciiTheme="minorHAnsi" w:hAnsiTheme="minorHAnsi" w:cstheme="minorHAnsi"/>
                <w:sz w:val="18"/>
                <w:szCs w:val="18"/>
              </w:rPr>
            </w:pPr>
            <w:r w:rsidRPr="006251A7">
              <w:rPr>
                <w:rFonts w:asciiTheme="minorHAnsi" w:hAnsiTheme="minorHAnsi" w:cstheme="minorHAnsi"/>
                <w:sz w:val="18"/>
                <w:szCs w:val="18"/>
              </w:rPr>
              <w:t>Pilot programs</w:t>
            </w:r>
          </w:p>
        </w:tc>
        <w:tc>
          <w:tcPr>
            <w:tcW w:w="971" w:type="dxa"/>
            <w:gridSpan w:val="2"/>
          </w:tcPr>
          <w:p w14:paraId="7A525E56" w14:textId="34891DE1" w:rsidR="00172D72" w:rsidRPr="006251A7" w:rsidRDefault="00172D72" w:rsidP="00172D72">
            <w:pPr>
              <w:pStyle w:val="TableParagraph"/>
              <w:keepLines/>
              <w:widowControl/>
              <w:rPr>
                <w:rFonts w:asciiTheme="minorHAnsi" w:hAnsiTheme="minorHAnsi" w:cstheme="minorHAnsi"/>
                <w:sz w:val="18"/>
                <w:szCs w:val="18"/>
              </w:rPr>
            </w:pPr>
            <w:r w:rsidRPr="006251A7">
              <w:rPr>
                <w:rFonts w:asciiTheme="minorHAnsi" w:hAnsiTheme="minorHAnsi" w:cstheme="minorHAnsi"/>
                <w:sz w:val="18"/>
                <w:szCs w:val="18"/>
              </w:rPr>
              <w:t>+/-/0</w:t>
            </w:r>
          </w:p>
        </w:tc>
        <w:tc>
          <w:tcPr>
            <w:tcW w:w="3296" w:type="dxa"/>
          </w:tcPr>
          <w:p w14:paraId="44FA10F0" w14:textId="77777777" w:rsidR="00172D72" w:rsidRPr="006251A7" w:rsidRDefault="00172D72" w:rsidP="00172D72">
            <w:pPr>
              <w:pStyle w:val="TableParagraph"/>
              <w:keepLines/>
              <w:widowControl/>
              <w:rPr>
                <w:rFonts w:asciiTheme="minorHAnsi" w:hAnsiTheme="minorHAnsi" w:cstheme="minorHAnsi"/>
                <w:sz w:val="18"/>
                <w:szCs w:val="18"/>
              </w:rPr>
            </w:pPr>
          </w:p>
        </w:tc>
        <w:tc>
          <w:tcPr>
            <w:tcW w:w="4534" w:type="dxa"/>
          </w:tcPr>
          <w:p w14:paraId="48689F3A" w14:textId="77777777" w:rsidR="00172D72" w:rsidRPr="006251A7" w:rsidRDefault="00172D72" w:rsidP="00172D72">
            <w:pPr>
              <w:pStyle w:val="TableParagraph"/>
              <w:keepLines/>
              <w:widowControl/>
              <w:rPr>
                <w:rFonts w:asciiTheme="minorHAnsi" w:hAnsiTheme="minorHAnsi" w:cstheme="minorHAnsi"/>
                <w:sz w:val="18"/>
                <w:szCs w:val="18"/>
              </w:rPr>
            </w:pPr>
          </w:p>
        </w:tc>
      </w:tr>
    </w:tbl>
    <w:p w14:paraId="410F3549" w14:textId="77777777" w:rsidR="00754FD1" w:rsidRPr="006251A7" w:rsidRDefault="00754FD1">
      <w:pPr>
        <w:pStyle w:val="BodyText"/>
        <w:rPr>
          <w:rFonts w:asciiTheme="minorHAnsi" w:hAnsiTheme="minorHAnsi" w:cstheme="minorHAnsi"/>
          <w:sz w:val="18"/>
          <w:szCs w:val="18"/>
        </w:rPr>
      </w:pPr>
    </w:p>
    <w:p w14:paraId="566D6757" w14:textId="7B8BD019" w:rsidR="00754FD1" w:rsidRPr="006251A7" w:rsidRDefault="00754FD1">
      <w:pPr>
        <w:pStyle w:val="BodyText"/>
        <w:rPr>
          <w:rFonts w:asciiTheme="minorHAnsi" w:hAnsiTheme="minorHAnsi" w:cstheme="minorHAnsi"/>
          <w:sz w:val="18"/>
          <w:szCs w:val="18"/>
        </w:rPr>
      </w:pPr>
      <w:r w:rsidRPr="006251A7">
        <w:rPr>
          <w:rFonts w:asciiTheme="minorHAnsi" w:hAnsiTheme="minorHAnsi" w:cstheme="minorHAnsi"/>
          <w:sz w:val="18"/>
          <w:szCs w:val="18"/>
        </w:rPr>
        <w:t>Overall Assessment</w:t>
      </w:r>
    </w:p>
    <w:p w14:paraId="104E2C31" w14:textId="77777777" w:rsidR="00754FD1" w:rsidRPr="006251A7" w:rsidRDefault="00754FD1">
      <w:pPr>
        <w:pStyle w:val="BodyText"/>
        <w:rPr>
          <w:rFonts w:asciiTheme="minorHAnsi" w:hAnsiTheme="minorHAnsi" w:cstheme="minorHAnsi"/>
          <w:sz w:val="18"/>
          <w:szCs w:val="18"/>
        </w:rPr>
      </w:pPr>
    </w:p>
    <w:tbl>
      <w:tblPr>
        <w:tblStyle w:val="TableGrid"/>
        <w:tblW w:w="0" w:type="auto"/>
        <w:tblInd w:w="288" w:type="dxa"/>
        <w:tblLook w:val="04A0" w:firstRow="1" w:lastRow="0" w:firstColumn="1" w:lastColumn="0" w:noHBand="0" w:noVBand="1"/>
      </w:tblPr>
      <w:tblGrid>
        <w:gridCol w:w="3943"/>
        <w:gridCol w:w="3234"/>
        <w:gridCol w:w="5725"/>
      </w:tblGrid>
      <w:tr w:rsidR="00754FD1" w:rsidRPr="006251A7" w14:paraId="04E62DB9" w14:textId="77777777" w:rsidTr="007222AE">
        <w:tc>
          <w:tcPr>
            <w:tcW w:w="7177" w:type="dxa"/>
            <w:gridSpan w:val="2"/>
            <w:shd w:val="clear" w:color="auto" w:fill="3B7E32"/>
          </w:tcPr>
          <w:p w14:paraId="1FC4C6BD" w14:textId="1538FE8A" w:rsidR="00754FD1" w:rsidRPr="006251A7" w:rsidRDefault="00754FD1">
            <w:pPr>
              <w:pStyle w:val="BodyText"/>
              <w:spacing w:before="63"/>
              <w:rPr>
                <w:rFonts w:asciiTheme="minorHAnsi" w:hAnsiTheme="minorHAnsi" w:cstheme="minorHAnsi"/>
                <w:sz w:val="18"/>
                <w:szCs w:val="18"/>
              </w:rPr>
            </w:pPr>
            <w:r w:rsidRPr="006251A7">
              <w:rPr>
                <w:rFonts w:asciiTheme="minorHAnsi" w:hAnsiTheme="minorHAnsi" w:cstheme="minorHAnsi"/>
                <w:b/>
                <w:color w:val="FFFFFF"/>
                <w:sz w:val="18"/>
                <w:szCs w:val="18"/>
              </w:rPr>
              <w:t>Overall, does the existing regulatory framework</w:t>
            </w:r>
            <w:r w:rsidRPr="006251A7">
              <w:rPr>
                <w:rFonts w:asciiTheme="minorHAnsi" w:hAnsiTheme="minorHAnsi" w:cstheme="minorHAnsi"/>
                <w:b/>
                <w:color w:val="FFFFFF"/>
                <w:spacing w:val="-11"/>
                <w:sz w:val="18"/>
                <w:szCs w:val="18"/>
              </w:rPr>
              <w:t xml:space="preserve"> </w:t>
            </w:r>
            <w:r w:rsidRPr="006251A7">
              <w:rPr>
                <w:rFonts w:asciiTheme="minorHAnsi" w:hAnsiTheme="minorHAnsi" w:cstheme="minorHAnsi"/>
                <w:b/>
                <w:color w:val="FFFFFF"/>
                <w:sz w:val="18"/>
                <w:szCs w:val="18"/>
              </w:rPr>
              <w:t>support</w:t>
            </w:r>
            <w:r w:rsidRPr="006251A7">
              <w:rPr>
                <w:rFonts w:asciiTheme="minorHAnsi" w:hAnsiTheme="minorHAnsi" w:cstheme="minorHAnsi"/>
                <w:b/>
                <w:color w:val="FFFFFF"/>
                <w:spacing w:val="-9"/>
                <w:sz w:val="18"/>
                <w:szCs w:val="18"/>
              </w:rPr>
              <w:t xml:space="preserve"> </w:t>
            </w:r>
            <w:r w:rsidRPr="006251A7">
              <w:rPr>
                <w:rFonts w:asciiTheme="minorHAnsi" w:hAnsiTheme="minorHAnsi" w:cstheme="minorHAnsi"/>
                <w:b/>
                <w:color w:val="FFFFFF"/>
                <w:sz w:val="18"/>
                <w:szCs w:val="18"/>
              </w:rPr>
              <w:t>achievement</w:t>
            </w:r>
            <w:r w:rsidRPr="006251A7">
              <w:rPr>
                <w:rFonts w:asciiTheme="minorHAnsi" w:hAnsiTheme="minorHAnsi" w:cstheme="minorHAnsi"/>
                <w:b/>
                <w:color w:val="FFFFFF"/>
                <w:spacing w:val="-12"/>
                <w:sz w:val="18"/>
                <w:szCs w:val="18"/>
              </w:rPr>
              <w:t xml:space="preserve"> </w:t>
            </w:r>
            <w:r w:rsidRPr="006251A7">
              <w:rPr>
                <w:rFonts w:asciiTheme="minorHAnsi" w:hAnsiTheme="minorHAnsi" w:cstheme="minorHAnsi"/>
                <w:b/>
                <w:color w:val="FFFFFF"/>
                <w:sz w:val="18"/>
                <w:szCs w:val="18"/>
              </w:rPr>
              <w:t>of</w:t>
            </w:r>
            <w:r w:rsidRPr="006251A7">
              <w:rPr>
                <w:rFonts w:asciiTheme="minorHAnsi" w:hAnsiTheme="minorHAnsi" w:cstheme="minorHAnsi"/>
                <w:b/>
                <w:color w:val="FFFFFF"/>
                <w:spacing w:val="-12"/>
                <w:sz w:val="18"/>
                <w:szCs w:val="18"/>
              </w:rPr>
              <w:t xml:space="preserve"> </w:t>
            </w:r>
            <w:r w:rsidRPr="006251A7">
              <w:rPr>
                <w:rFonts w:asciiTheme="minorHAnsi" w:hAnsiTheme="minorHAnsi" w:cstheme="minorHAnsi"/>
                <w:b/>
                <w:color w:val="FFFFFF"/>
                <w:sz w:val="18"/>
                <w:szCs w:val="18"/>
              </w:rPr>
              <w:t>th</w:t>
            </w:r>
            <w:r w:rsidR="004E09CA" w:rsidRPr="006251A7">
              <w:rPr>
                <w:rFonts w:asciiTheme="minorHAnsi" w:hAnsiTheme="minorHAnsi" w:cstheme="minorHAnsi"/>
                <w:b/>
                <w:color w:val="FFFFFF"/>
                <w:sz w:val="18"/>
                <w:szCs w:val="18"/>
              </w:rPr>
              <w:t>e identified</w:t>
            </w:r>
            <w:r w:rsidRPr="006251A7">
              <w:rPr>
                <w:rFonts w:asciiTheme="minorHAnsi" w:hAnsiTheme="minorHAnsi" w:cstheme="minorHAnsi"/>
                <w:b/>
                <w:color w:val="FFFFFF"/>
                <w:sz w:val="18"/>
                <w:szCs w:val="18"/>
              </w:rPr>
              <w:t xml:space="preserve"> </w:t>
            </w:r>
            <w:r w:rsidRPr="006251A7">
              <w:rPr>
                <w:rFonts w:asciiTheme="minorHAnsi" w:hAnsiTheme="minorHAnsi" w:cstheme="minorHAnsi"/>
                <w:b/>
                <w:color w:val="FFFFFF"/>
                <w:spacing w:val="-2"/>
                <w:sz w:val="18"/>
                <w:szCs w:val="18"/>
              </w:rPr>
              <w:t>outcome?</w:t>
            </w:r>
          </w:p>
        </w:tc>
        <w:tc>
          <w:tcPr>
            <w:tcW w:w="5725" w:type="dxa"/>
            <w:shd w:val="clear" w:color="auto" w:fill="3B7E32"/>
          </w:tcPr>
          <w:p w14:paraId="5B090A8A" w14:textId="0C3864D9" w:rsidR="00754FD1" w:rsidRPr="006251A7" w:rsidRDefault="00754FD1">
            <w:pPr>
              <w:pStyle w:val="BodyText"/>
              <w:spacing w:before="63"/>
              <w:rPr>
                <w:rFonts w:asciiTheme="minorHAnsi" w:hAnsiTheme="minorHAnsi" w:cstheme="minorHAnsi"/>
                <w:sz w:val="18"/>
                <w:szCs w:val="18"/>
              </w:rPr>
            </w:pPr>
            <w:r w:rsidRPr="006251A7">
              <w:rPr>
                <w:rFonts w:asciiTheme="minorHAnsi" w:hAnsiTheme="minorHAnsi" w:cstheme="minorHAnsi"/>
                <w:b/>
                <w:color w:val="FFFFFF"/>
                <w:spacing w:val="-2"/>
                <w:sz w:val="18"/>
                <w:szCs w:val="18"/>
              </w:rPr>
              <w:t>Discussion</w:t>
            </w:r>
          </w:p>
        </w:tc>
      </w:tr>
      <w:tr w:rsidR="00615B91" w:rsidRPr="006251A7" w14:paraId="1A29D26F" w14:textId="77777777" w:rsidTr="007222AE">
        <w:trPr>
          <w:trHeight w:val="905"/>
        </w:trPr>
        <w:tc>
          <w:tcPr>
            <w:tcW w:w="3943" w:type="dxa"/>
          </w:tcPr>
          <w:p w14:paraId="0D74C0AA" w14:textId="0427D572" w:rsidR="00615B91" w:rsidRPr="006251A7" w:rsidRDefault="00754FD1">
            <w:pPr>
              <w:pStyle w:val="BodyText"/>
              <w:spacing w:before="63"/>
              <w:rPr>
                <w:rFonts w:asciiTheme="minorHAnsi" w:hAnsiTheme="minorHAnsi" w:cstheme="minorHAnsi"/>
                <w:sz w:val="18"/>
                <w:szCs w:val="18"/>
              </w:rPr>
            </w:pPr>
            <w:r w:rsidRPr="006251A7">
              <w:rPr>
                <w:rFonts w:asciiTheme="minorHAnsi" w:hAnsiTheme="minorHAnsi" w:cstheme="minorHAnsi"/>
                <w:b/>
                <w:bCs/>
                <w:sz w:val="18"/>
                <w:szCs w:val="18"/>
              </w:rPr>
              <w:t xml:space="preserve">+ (YES) </w:t>
            </w:r>
            <w:r w:rsidRPr="006251A7">
              <w:rPr>
                <w:rFonts w:asciiTheme="minorHAnsi" w:hAnsiTheme="minorHAnsi" w:cstheme="minorHAnsi"/>
                <w:sz w:val="18"/>
                <w:szCs w:val="18"/>
              </w:rPr>
              <w:t>incents achievement</w:t>
            </w:r>
          </w:p>
        </w:tc>
        <w:tc>
          <w:tcPr>
            <w:tcW w:w="3234" w:type="dxa"/>
          </w:tcPr>
          <w:p w14:paraId="56030676" w14:textId="77777777" w:rsidR="00615B91" w:rsidRPr="006251A7" w:rsidRDefault="00615B91">
            <w:pPr>
              <w:pStyle w:val="BodyText"/>
              <w:spacing w:before="63"/>
              <w:rPr>
                <w:rFonts w:asciiTheme="minorHAnsi" w:hAnsiTheme="minorHAnsi" w:cstheme="minorHAnsi"/>
                <w:sz w:val="18"/>
                <w:szCs w:val="18"/>
              </w:rPr>
            </w:pPr>
          </w:p>
          <w:p w14:paraId="3EA4083E" w14:textId="77777777" w:rsidR="007222AE" w:rsidRPr="006251A7" w:rsidRDefault="007222AE" w:rsidP="007222AE">
            <w:pPr>
              <w:rPr>
                <w:rFonts w:asciiTheme="minorHAnsi" w:hAnsiTheme="minorHAnsi" w:cstheme="minorHAnsi"/>
                <w:sz w:val="18"/>
                <w:szCs w:val="18"/>
              </w:rPr>
            </w:pPr>
          </w:p>
          <w:p w14:paraId="531004E9" w14:textId="0908806C" w:rsidR="007222AE" w:rsidRPr="006251A7" w:rsidRDefault="007222AE" w:rsidP="007222AE">
            <w:pPr>
              <w:jc w:val="right"/>
              <w:rPr>
                <w:rFonts w:asciiTheme="minorHAnsi" w:hAnsiTheme="minorHAnsi" w:cstheme="minorHAnsi"/>
                <w:sz w:val="18"/>
                <w:szCs w:val="18"/>
              </w:rPr>
            </w:pPr>
          </w:p>
        </w:tc>
        <w:tc>
          <w:tcPr>
            <w:tcW w:w="5725" w:type="dxa"/>
          </w:tcPr>
          <w:p w14:paraId="28993F9A" w14:textId="77777777" w:rsidR="00615B91" w:rsidRPr="006251A7" w:rsidRDefault="00615B91">
            <w:pPr>
              <w:pStyle w:val="BodyText"/>
              <w:spacing w:before="63"/>
              <w:rPr>
                <w:rFonts w:asciiTheme="minorHAnsi" w:hAnsiTheme="minorHAnsi" w:cstheme="minorHAnsi"/>
                <w:sz w:val="18"/>
                <w:szCs w:val="18"/>
              </w:rPr>
            </w:pPr>
          </w:p>
        </w:tc>
      </w:tr>
      <w:tr w:rsidR="00615B91" w:rsidRPr="006251A7" w14:paraId="36EB2410" w14:textId="77777777" w:rsidTr="007222AE">
        <w:trPr>
          <w:trHeight w:val="797"/>
        </w:trPr>
        <w:tc>
          <w:tcPr>
            <w:tcW w:w="3943" w:type="dxa"/>
          </w:tcPr>
          <w:p w14:paraId="517ABDD8" w14:textId="16A5B4B2" w:rsidR="00615B91" w:rsidRPr="006251A7" w:rsidRDefault="00754FD1">
            <w:pPr>
              <w:pStyle w:val="BodyText"/>
              <w:spacing w:before="63"/>
              <w:rPr>
                <w:rFonts w:asciiTheme="minorHAnsi" w:hAnsiTheme="minorHAnsi" w:cstheme="minorHAnsi"/>
                <w:sz w:val="18"/>
                <w:szCs w:val="18"/>
              </w:rPr>
            </w:pPr>
            <w:r w:rsidRPr="006251A7">
              <w:rPr>
                <w:rFonts w:asciiTheme="minorHAnsi" w:hAnsiTheme="minorHAnsi" w:cstheme="minorHAnsi"/>
                <w:b/>
                <w:bCs/>
                <w:sz w:val="18"/>
                <w:szCs w:val="18"/>
              </w:rPr>
              <w:t>0 (NO IMPACT)</w:t>
            </w:r>
          </w:p>
        </w:tc>
        <w:tc>
          <w:tcPr>
            <w:tcW w:w="3234" w:type="dxa"/>
          </w:tcPr>
          <w:p w14:paraId="6CD1F948" w14:textId="77777777" w:rsidR="00615B91" w:rsidRPr="006251A7" w:rsidRDefault="00615B91">
            <w:pPr>
              <w:pStyle w:val="BodyText"/>
              <w:spacing w:before="63"/>
              <w:rPr>
                <w:rFonts w:asciiTheme="minorHAnsi" w:hAnsiTheme="minorHAnsi" w:cstheme="minorHAnsi"/>
                <w:sz w:val="18"/>
                <w:szCs w:val="18"/>
              </w:rPr>
            </w:pPr>
          </w:p>
        </w:tc>
        <w:tc>
          <w:tcPr>
            <w:tcW w:w="5725" w:type="dxa"/>
          </w:tcPr>
          <w:p w14:paraId="4E553BFC" w14:textId="77777777" w:rsidR="00615B91" w:rsidRPr="006251A7" w:rsidRDefault="00615B91">
            <w:pPr>
              <w:pStyle w:val="BodyText"/>
              <w:spacing w:before="63"/>
              <w:rPr>
                <w:rFonts w:asciiTheme="minorHAnsi" w:hAnsiTheme="minorHAnsi" w:cstheme="minorHAnsi"/>
                <w:sz w:val="18"/>
                <w:szCs w:val="18"/>
              </w:rPr>
            </w:pPr>
          </w:p>
        </w:tc>
      </w:tr>
      <w:tr w:rsidR="00615B91" w:rsidRPr="006251A7" w14:paraId="3CA1F8FF" w14:textId="77777777" w:rsidTr="007222AE">
        <w:trPr>
          <w:trHeight w:val="905"/>
        </w:trPr>
        <w:tc>
          <w:tcPr>
            <w:tcW w:w="3943" w:type="dxa"/>
          </w:tcPr>
          <w:p w14:paraId="75D35AC4" w14:textId="0C06DB50" w:rsidR="00615B91" w:rsidRPr="006251A7" w:rsidRDefault="00754FD1">
            <w:pPr>
              <w:pStyle w:val="BodyText"/>
              <w:spacing w:before="63"/>
              <w:rPr>
                <w:rFonts w:asciiTheme="minorHAnsi" w:hAnsiTheme="minorHAnsi" w:cstheme="minorHAnsi"/>
                <w:sz w:val="18"/>
                <w:szCs w:val="18"/>
              </w:rPr>
            </w:pPr>
            <w:r w:rsidRPr="006251A7">
              <w:rPr>
                <w:rFonts w:asciiTheme="minorHAnsi" w:hAnsiTheme="minorHAnsi" w:cstheme="minorHAnsi"/>
                <w:b/>
                <w:bCs/>
                <w:sz w:val="18"/>
                <w:szCs w:val="18"/>
              </w:rPr>
              <w:t xml:space="preserve">- (NO) </w:t>
            </w:r>
            <w:r w:rsidRPr="006251A7">
              <w:rPr>
                <w:rFonts w:asciiTheme="minorHAnsi" w:hAnsiTheme="minorHAnsi" w:cstheme="minorHAnsi"/>
                <w:sz w:val="18"/>
                <w:szCs w:val="18"/>
              </w:rPr>
              <w:t>disincentivizes achievement</w:t>
            </w:r>
          </w:p>
        </w:tc>
        <w:tc>
          <w:tcPr>
            <w:tcW w:w="3234" w:type="dxa"/>
          </w:tcPr>
          <w:p w14:paraId="484E130E" w14:textId="3B09B078" w:rsidR="00615B91" w:rsidRPr="006251A7" w:rsidRDefault="00C91796">
            <w:pPr>
              <w:pStyle w:val="BodyText"/>
              <w:spacing w:before="63"/>
              <w:rPr>
                <w:rFonts w:asciiTheme="minorHAnsi" w:hAnsiTheme="minorHAnsi" w:cstheme="minorHAnsi"/>
                <w:sz w:val="18"/>
                <w:szCs w:val="18"/>
              </w:rPr>
            </w:pPr>
            <w:r w:rsidRPr="006251A7">
              <w:rPr>
                <w:rFonts w:asciiTheme="minorHAnsi" w:hAnsiTheme="minorHAnsi" w:cstheme="minorHAnsi"/>
                <w:sz w:val="18"/>
                <w:szCs w:val="18"/>
              </w:rPr>
              <w:t>-</w:t>
            </w:r>
            <w:r w:rsidR="00942BEE" w:rsidRPr="006251A7">
              <w:rPr>
                <w:rFonts w:asciiTheme="minorHAnsi" w:hAnsiTheme="minorHAnsi" w:cstheme="minorHAnsi"/>
                <w:sz w:val="18"/>
                <w:szCs w:val="18"/>
              </w:rPr>
              <w:t xml:space="preserve"> </w:t>
            </w:r>
            <w:r w:rsidR="000C23C3" w:rsidRPr="006251A7">
              <w:rPr>
                <w:rFonts w:asciiTheme="minorHAnsi" w:hAnsiTheme="minorHAnsi" w:cstheme="minorHAnsi"/>
                <w:sz w:val="18"/>
                <w:szCs w:val="18"/>
              </w:rPr>
              <w:t xml:space="preserve">The performance of utilities related to maximizing savings for customers and meeting decarbonization goals through EERS targets and related DSM programs that we have in Virginia are undercut by </w:t>
            </w:r>
            <w:r w:rsidR="003F0D99" w:rsidRPr="006251A7">
              <w:rPr>
                <w:rFonts w:asciiTheme="minorHAnsi" w:hAnsiTheme="minorHAnsi" w:cstheme="minorHAnsi"/>
                <w:sz w:val="18"/>
                <w:szCs w:val="18"/>
              </w:rPr>
              <w:t xml:space="preserve"> the throughput incentive, the low threshold for approving new RACs</w:t>
            </w:r>
            <w:r w:rsidR="00B14C30" w:rsidRPr="006251A7">
              <w:rPr>
                <w:rFonts w:asciiTheme="minorHAnsi" w:hAnsiTheme="minorHAnsi" w:cstheme="minorHAnsi"/>
                <w:sz w:val="18"/>
                <w:szCs w:val="18"/>
              </w:rPr>
              <w:t xml:space="preserve"> and their negative impact on cost savings for customers</w:t>
            </w:r>
            <w:r w:rsidR="003F0D99" w:rsidRPr="006251A7">
              <w:rPr>
                <w:rFonts w:asciiTheme="minorHAnsi" w:hAnsiTheme="minorHAnsi" w:cstheme="minorHAnsi"/>
                <w:sz w:val="18"/>
                <w:szCs w:val="18"/>
              </w:rPr>
              <w:t>,</w:t>
            </w:r>
            <w:r w:rsidR="00B14C30" w:rsidRPr="006251A7">
              <w:rPr>
                <w:rFonts w:asciiTheme="minorHAnsi" w:hAnsiTheme="minorHAnsi" w:cstheme="minorHAnsi"/>
                <w:sz w:val="18"/>
                <w:szCs w:val="18"/>
              </w:rPr>
              <w:t xml:space="preserve"> the</w:t>
            </w:r>
            <w:r w:rsidR="005175BF" w:rsidRPr="006251A7">
              <w:rPr>
                <w:rFonts w:asciiTheme="minorHAnsi" w:hAnsiTheme="minorHAnsi" w:cstheme="minorHAnsi"/>
                <w:sz w:val="18"/>
                <w:szCs w:val="18"/>
              </w:rPr>
              <w:t xml:space="preserve"> failure of existing EERS</w:t>
            </w:r>
            <w:r w:rsidR="00B14C30" w:rsidRPr="006251A7">
              <w:rPr>
                <w:rFonts w:asciiTheme="minorHAnsi" w:hAnsiTheme="minorHAnsi" w:cstheme="minorHAnsi"/>
                <w:sz w:val="18"/>
                <w:szCs w:val="18"/>
              </w:rPr>
              <w:t xml:space="preserve"> performance incentives and disincentives </w:t>
            </w:r>
            <w:r w:rsidR="005175BF" w:rsidRPr="006251A7">
              <w:rPr>
                <w:rFonts w:asciiTheme="minorHAnsi" w:hAnsiTheme="minorHAnsi" w:cstheme="minorHAnsi"/>
                <w:sz w:val="18"/>
                <w:szCs w:val="18"/>
              </w:rPr>
              <w:t xml:space="preserve">to encourage electric utility action and some of the other existing regulatory mechanisms and programs I </w:t>
            </w:r>
            <w:r w:rsidR="00E11CCD">
              <w:rPr>
                <w:rFonts w:asciiTheme="minorHAnsi" w:hAnsiTheme="minorHAnsi" w:cstheme="minorHAnsi"/>
                <w:sz w:val="18"/>
                <w:szCs w:val="18"/>
              </w:rPr>
              <w:t>highlighted</w:t>
            </w:r>
            <w:r w:rsidR="005175BF" w:rsidRPr="006251A7">
              <w:rPr>
                <w:rFonts w:asciiTheme="minorHAnsi" w:hAnsiTheme="minorHAnsi" w:cstheme="minorHAnsi"/>
                <w:sz w:val="18"/>
                <w:szCs w:val="18"/>
              </w:rPr>
              <w:t xml:space="preserve"> above. </w:t>
            </w:r>
            <w:r w:rsidR="000C23C3" w:rsidRPr="006251A7">
              <w:rPr>
                <w:rFonts w:asciiTheme="minorHAnsi" w:hAnsiTheme="minorHAnsi" w:cstheme="minorHAnsi"/>
                <w:sz w:val="18"/>
                <w:szCs w:val="18"/>
              </w:rPr>
              <w:t xml:space="preserve"> </w:t>
            </w:r>
            <w:r w:rsidR="005175BF" w:rsidRPr="006251A7">
              <w:rPr>
                <w:rFonts w:asciiTheme="minorHAnsi" w:hAnsiTheme="minorHAnsi" w:cstheme="minorHAnsi"/>
                <w:sz w:val="18"/>
                <w:szCs w:val="18"/>
              </w:rPr>
              <w:t>So overall, t</w:t>
            </w:r>
            <w:r w:rsidR="00942BEE" w:rsidRPr="006251A7">
              <w:rPr>
                <w:rFonts w:asciiTheme="minorHAnsi" w:hAnsiTheme="minorHAnsi" w:cstheme="minorHAnsi"/>
                <w:sz w:val="18"/>
                <w:szCs w:val="18"/>
              </w:rPr>
              <w:t xml:space="preserve">he existing regulatory framework largely disincentivizes investments in energy efficiency </w:t>
            </w:r>
            <w:r w:rsidR="005175BF" w:rsidRPr="006251A7">
              <w:rPr>
                <w:rFonts w:asciiTheme="minorHAnsi" w:hAnsiTheme="minorHAnsi" w:cstheme="minorHAnsi"/>
                <w:sz w:val="18"/>
                <w:szCs w:val="18"/>
              </w:rPr>
              <w:t xml:space="preserve">leaving </w:t>
            </w:r>
            <w:r w:rsidR="00942BEE" w:rsidRPr="006251A7">
              <w:rPr>
                <w:rFonts w:asciiTheme="minorHAnsi" w:hAnsiTheme="minorHAnsi" w:cstheme="minorHAnsi"/>
                <w:sz w:val="18"/>
                <w:szCs w:val="18"/>
              </w:rPr>
              <w:t xml:space="preserve">statutory </w:t>
            </w:r>
            <w:r w:rsidR="005175BF" w:rsidRPr="006251A7">
              <w:rPr>
                <w:rFonts w:asciiTheme="minorHAnsi" w:hAnsiTheme="minorHAnsi" w:cstheme="minorHAnsi"/>
                <w:sz w:val="18"/>
                <w:szCs w:val="18"/>
              </w:rPr>
              <w:t>EERS targets presently unmet</w:t>
            </w:r>
            <w:r w:rsidR="00A1126E">
              <w:rPr>
                <w:rFonts w:asciiTheme="minorHAnsi" w:hAnsiTheme="minorHAnsi" w:cstheme="minorHAnsi"/>
                <w:sz w:val="18"/>
                <w:szCs w:val="18"/>
              </w:rPr>
              <w:t xml:space="preserve"> and therefore insufficient savings for customers and emission reductions decarbonization</w:t>
            </w:r>
            <w:r w:rsidR="00942BEE" w:rsidRPr="006251A7">
              <w:rPr>
                <w:rFonts w:asciiTheme="minorHAnsi" w:hAnsiTheme="minorHAnsi" w:cstheme="minorHAnsi"/>
                <w:sz w:val="18"/>
                <w:szCs w:val="18"/>
              </w:rPr>
              <w:t xml:space="preserve">. </w:t>
            </w:r>
          </w:p>
        </w:tc>
        <w:tc>
          <w:tcPr>
            <w:tcW w:w="5725" w:type="dxa"/>
          </w:tcPr>
          <w:p w14:paraId="763DD1AE" w14:textId="77777777" w:rsidR="00615B91" w:rsidRPr="006251A7" w:rsidRDefault="00615B91">
            <w:pPr>
              <w:pStyle w:val="BodyText"/>
              <w:spacing w:before="63"/>
              <w:rPr>
                <w:rFonts w:asciiTheme="minorHAnsi" w:hAnsiTheme="minorHAnsi" w:cstheme="minorHAnsi"/>
                <w:sz w:val="18"/>
                <w:szCs w:val="18"/>
              </w:rPr>
            </w:pPr>
          </w:p>
        </w:tc>
      </w:tr>
    </w:tbl>
    <w:p w14:paraId="40DB61E6" w14:textId="77777777" w:rsidR="00615B91" w:rsidRPr="006251A7" w:rsidRDefault="00615B91">
      <w:pPr>
        <w:pStyle w:val="BodyText"/>
        <w:spacing w:before="63"/>
        <w:rPr>
          <w:rFonts w:asciiTheme="minorHAnsi" w:hAnsiTheme="minorHAnsi" w:cstheme="minorHAnsi"/>
          <w:sz w:val="18"/>
          <w:szCs w:val="18"/>
        </w:rPr>
      </w:pPr>
    </w:p>
    <w:sectPr w:rsidR="00615B91" w:rsidRPr="006251A7">
      <w:pgSz w:w="15840" w:h="12240" w:orient="landscape"/>
      <w:pgMar w:top="13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E31E9" w14:textId="77777777" w:rsidR="00581433" w:rsidRDefault="00581433" w:rsidP="00C64AAF">
      <w:r>
        <w:separator/>
      </w:r>
    </w:p>
  </w:endnote>
  <w:endnote w:type="continuationSeparator" w:id="0">
    <w:p w14:paraId="2DF51BF1" w14:textId="77777777" w:rsidR="00581433" w:rsidRDefault="00581433" w:rsidP="00C6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AC25C" w14:textId="77777777" w:rsidR="00581433" w:rsidRDefault="00581433" w:rsidP="00C64AAF">
      <w:r>
        <w:separator/>
      </w:r>
    </w:p>
  </w:footnote>
  <w:footnote w:type="continuationSeparator" w:id="0">
    <w:p w14:paraId="14331935" w14:textId="77777777" w:rsidR="00581433" w:rsidRDefault="00581433" w:rsidP="00C64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24"/>
    <w:rsid w:val="0003307B"/>
    <w:rsid w:val="000460F7"/>
    <w:rsid w:val="00051570"/>
    <w:rsid w:val="000868B8"/>
    <w:rsid w:val="000B6FEE"/>
    <w:rsid w:val="000C23C3"/>
    <w:rsid w:val="000D6A65"/>
    <w:rsid w:val="00102191"/>
    <w:rsid w:val="001347A7"/>
    <w:rsid w:val="00151704"/>
    <w:rsid w:val="00164208"/>
    <w:rsid w:val="00165A36"/>
    <w:rsid w:val="00171D14"/>
    <w:rsid w:val="00172D72"/>
    <w:rsid w:val="00184101"/>
    <w:rsid w:val="001A57DB"/>
    <w:rsid w:val="001B5B14"/>
    <w:rsid w:val="001D7C93"/>
    <w:rsid w:val="00231CD8"/>
    <w:rsid w:val="002328B9"/>
    <w:rsid w:val="00244057"/>
    <w:rsid w:val="00251921"/>
    <w:rsid w:val="002B2930"/>
    <w:rsid w:val="002B7237"/>
    <w:rsid w:val="002C5955"/>
    <w:rsid w:val="002D6FA4"/>
    <w:rsid w:val="002D7E5D"/>
    <w:rsid w:val="002E4B1D"/>
    <w:rsid w:val="00301124"/>
    <w:rsid w:val="00342AE9"/>
    <w:rsid w:val="00352FF5"/>
    <w:rsid w:val="00355536"/>
    <w:rsid w:val="00380DC0"/>
    <w:rsid w:val="003B2489"/>
    <w:rsid w:val="003C30FC"/>
    <w:rsid w:val="003D52BE"/>
    <w:rsid w:val="003D5C0B"/>
    <w:rsid w:val="003E2469"/>
    <w:rsid w:val="003E7A5D"/>
    <w:rsid w:val="003F0D99"/>
    <w:rsid w:val="004012B7"/>
    <w:rsid w:val="004137AD"/>
    <w:rsid w:val="00422C56"/>
    <w:rsid w:val="00427EA6"/>
    <w:rsid w:val="004407DC"/>
    <w:rsid w:val="0047002F"/>
    <w:rsid w:val="00481809"/>
    <w:rsid w:val="004A2957"/>
    <w:rsid w:val="004E09CA"/>
    <w:rsid w:val="005175BF"/>
    <w:rsid w:val="00522AAD"/>
    <w:rsid w:val="005258EF"/>
    <w:rsid w:val="005448D6"/>
    <w:rsid w:val="00547D7E"/>
    <w:rsid w:val="00581433"/>
    <w:rsid w:val="005947D3"/>
    <w:rsid w:val="005B30CB"/>
    <w:rsid w:val="005B75BF"/>
    <w:rsid w:val="005C18AB"/>
    <w:rsid w:val="005C7B09"/>
    <w:rsid w:val="005D3FB0"/>
    <w:rsid w:val="005D6028"/>
    <w:rsid w:val="005F257D"/>
    <w:rsid w:val="00611502"/>
    <w:rsid w:val="00615B91"/>
    <w:rsid w:val="006225BE"/>
    <w:rsid w:val="006251A7"/>
    <w:rsid w:val="0063094C"/>
    <w:rsid w:val="00644BD1"/>
    <w:rsid w:val="00651802"/>
    <w:rsid w:val="00652564"/>
    <w:rsid w:val="0066749E"/>
    <w:rsid w:val="00680819"/>
    <w:rsid w:val="006819D3"/>
    <w:rsid w:val="00697598"/>
    <w:rsid w:val="006A3122"/>
    <w:rsid w:val="006B38B8"/>
    <w:rsid w:val="006D132E"/>
    <w:rsid w:val="006D316B"/>
    <w:rsid w:val="006F14AF"/>
    <w:rsid w:val="006F7386"/>
    <w:rsid w:val="0070358B"/>
    <w:rsid w:val="00710EAA"/>
    <w:rsid w:val="007130DD"/>
    <w:rsid w:val="00714310"/>
    <w:rsid w:val="007222AE"/>
    <w:rsid w:val="00754FD1"/>
    <w:rsid w:val="007629A1"/>
    <w:rsid w:val="00770BDF"/>
    <w:rsid w:val="007817B5"/>
    <w:rsid w:val="0079634D"/>
    <w:rsid w:val="007D75B2"/>
    <w:rsid w:val="007E7A67"/>
    <w:rsid w:val="00802941"/>
    <w:rsid w:val="00826CBE"/>
    <w:rsid w:val="0083514D"/>
    <w:rsid w:val="008A07E8"/>
    <w:rsid w:val="008C5672"/>
    <w:rsid w:val="008D1F0D"/>
    <w:rsid w:val="008F3A1C"/>
    <w:rsid w:val="00913E60"/>
    <w:rsid w:val="009410E2"/>
    <w:rsid w:val="00942BEE"/>
    <w:rsid w:val="009532CB"/>
    <w:rsid w:val="00984445"/>
    <w:rsid w:val="00985A5C"/>
    <w:rsid w:val="00990033"/>
    <w:rsid w:val="009A063C"/>
    <w:rsid w:val="009A4618"/>
    <w:rsid w:val="009B706B"/>
    <w:rsid w:val="00A03634"/>
    <w:rsid w:val="00A1126E"/>
    <w:rsid w:val="00A24A2E"/>
    <w:rsid w:val="00A2544A"/>
    <w:rsid w:val="00A568B8"/>
    <w:rsid w:val="00A64864"/>
    <w:rsid w:val="00A90F5C"/>
    <w:rsid w:val="00AB56BB"/>
    <w:rsid w:val="00B14C30"/>
    <w:rsid w:val="00B15236"/>
    <w:rsid w:val="00B3061E"/>
    <w:rsid w:val="00B72D93"/>
    <w:rsid w:val="00B86783"/>
    <w:rsid w:val="00BA734C"/>
    <w:rsid w:val="00BF11FB"/>
    <w:rsid w:val="00BF2ED3"/>
    <w:rsid w:val="00BF649A"/>
    <w:rsid w:val="00C21019"/>
    <w:rsid w:val="00C24351"/>
    <w:rsid w:val="00C31C6D"/>
    <w:rsid w:val="00C62A98"/>
    <w:rsid w:val="00C645AF"/>
    <w:rsid w:val="00C64AAF"/>
    <w:rsid w:val="00C76F92"/>
    <w:rsid w:val="00C91796"/>
    <w:rsid w:val="00CB15A4"/>
    <w:rsid w:val="00CE1F45"/>
    <w:rsid w:val="00D001B5"/>
    <w:rsid w:val="00D13523"/>
    <w:rsid w:val="00D2263F"/>
    <w:rsid w:val="00D23E02"/>
    <w:rsid w:val="00D53C09"/>
    <w:rsid w:val="00D674FC"/>
    <w:rsid w:val="00D96FE7"/>
    <w:rsid w:val="00DB0C1F"/>
    <w:rsid w:val="00DB413E"/>
    <w:rsid w:val="00DB5A8F"/>
    <w:rsid w:val="00DC0530"/>
    <w:rsid w:val="00DC4B01"/>
    <w:rsid w:val="00DE24AB"/>
    <w:rsid w:val="00DE64C3"/>
    <w:rsid w:val="00DF0C4F"/>
    <w:rsid w:val="00E05315"/>
    <w:rsid w:val="00E11CCD"/>
    <w:rsid w:val="00E14522"/>
    <w:rsid w:val="00E23189"/>
    <w:rsid w:val="00E70063"/>
    <w:rsid w:val="00E932D1"/>
    <w:rsid w:val="00EA3CC9"/>
    <w:rsid w:val="00EE24A8"/>
    <w:rsid w:val="00F2045A"/>
    <w:rsid w:val="00F40FD0"/>
    <w:rsid w:val="00F44EB5"/>
    <w:rsid w:val="00F47D1D"/>
    <w:rsid w:val="00F873AC"/>
    <w:rsid w:val="00F97CC8"/>
    <w:rsid w:val="00FC05CF"/>
    <w:rsid w:val="00FC2FA7"/>
    <w:rsid w:val="00FD015F"/>
    <w:rsid w:val="2539C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1552"/>
  <w15:docId w15:val="{867669A6-AACA-400E-A2D3-3AD168C0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0"/>
      <w:ind w:left="713"/>
      <w:jc w:val="center"/>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1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257D"/>
    <w:rPr>
      <w:sz w:val="16"/>
      <w:szCs w:val="16"/>
    </w:rPr>
  </w:style>
  <w:style w:type="paragraph" w:styleId="CommentText">
    <w:name w:val="annotation text"/>
    <w:basedOn w:val="Normal"/>
    <w:link w:val="CommentTextChar"/>
    <w:uiPriority w:val="99"/>
    <w:unhideWhenUsed/>
    <w:rsid w:val="005F257D"/>
    <w:rPr>
      <w:sz w:val="20"/>
      <w:szCs w:val="20"/>
    </w:rPr>
  </w:style>
  <w:style w:type="character" w:customStyle="1" w:styleId="CommentTextChar">
    <w:name w:val="Comment Text Char"/>
    <w:basedOn w:val="DefaultParagraphFont"/>
    <w:link w:val="CommentText"/>
    <w:uiPriority w:val="99"/>
    <w:rsid w:val="005F25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F257D"/>
    <w:rPr>
      <w:b/>
      <w:bCs/>
    </w:rPr>
  </w:style>
  <w:style w:type="character" w:customStyle="1" w:styleId="CommentSubjectChar">
    <w:name w:val="Comment Subject Char"/>
    <w:basedOn w:val="CommentTextChar"/>
    <w:link w:val="CommentSubject"/>
    <w:uiPriority w:val="99"/>
    <w:semiHidden/>
    <w:rsid w:val="005F257D"/>
    <w:rPr>
      <w:rFonts w:ascii="Arial" w:eastAsia="Arial" w:hAnsi="Arial" w:cs="Arial"/>
      <w:b/>
      <w:bCs/>
      <w:sz w:val="20"/>
      <w:szCs w:val="20"/>
    </w:rPr>
  </w:style>
  <w:style w:type="paragraph" w:styleId="Revision">
    <w:name w:val="Revision"/>
    <w:hidden/>
    <w:uiPriority w:val="99"/>
    <w:semiHidden/>
    <w:rsid w:val="00DB0C1F"/>
    <w:pPr>
      <w:widowControl/>
      <w:autoSpaceDE/>
      <w:autoSpaceDN/>
    </w:pPr>
    <w:rPr>
      <w:rFonts w:ascii="Arial" w:eastAsia="Arial" w:hAnsi="Arial" w:cs="Arial"/>
    </w:rPr>
  </w:style>
  <w:style w:type="paragraph" w:styleId="NormalWeb">
    <w:name w:val="Normal (Web)"/>
    <w:basedOn w:val="Normal"/>
    <w:uiPriority w:val="99"/>
    <w:unhideWhenUsed/>
    <w:rsid w:val="003D5C0B"/>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64AAF"/>
    <w:pPr>
      <w:tabs>
        <w:tab w:val="center" w:pos="4680"/>
        <w:tab w:val="right" w:pos="9360"/>
      </w:tabs>
    </w:pPr>
  </w:style>
  <w:style w:type="character" w:customStyle="1" w:styleId="HeaderChar">
    <w:name w:val="Header Char"/>
    <w:basedOn w:val="DefaultParagraphFont"/>
    <w:link w:val="Header"/>
    <w:uiPriority w:val="99"/>
    <w:rsid w:val="00C64AAF"/>
    <w:rPr>
      <w:rFonts w:ascii="Arial" w:eastAsia="Arial" w:hAnsi="Arial" w:cs="Arial"/>
    </w:rPr>
  </w:style>
  <w:style w:type="paragraph" w:styleId="Footer">
    <w:name w:val="footer"/>
    <w:basedOn w:val="Normal"/>
    <w:link w:val="FooterChar"/>
    <w:uiPriority w:val="99"/>
    <w:unhideWhenUsed/>
    <w:rsid w:val="00C64AAF"/>
    <w:pPr>
      <w:tabs>
        <w:tab w:val="center" w:pos="4680"/>
        <w:tab w:val="right" w:pos="9360"/>
      </w:tabs>
    </w:pPr>
  </w:style>
  <w:style w:type="character" w:customStyle="1" w:styleId="FooterChar">
    <w:name w:val="Footer Char"/>
    <w:basedOn w:val="DefaultParagraphFont"/>
    <w:link w:val="Footer"/>
    <w:uiPriority w:val="99"/>
    <w:rsid w:val="00C64AA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2007">
      <w:bodyDiv w:val="1"/>
      <w:marLeft w:val="0"/>
      <w:marRight w:val="0"/>
      <w:marTop w:val="0"/>
      <w:marBottom w:val="0"/>
      <w:divBdr>
        <w:top w:val="none" w:sz="0" w:space="0" w:color="auto"/>
        <w:left w:val="none" w:sz="0" w:space="0" w:color="auto"/>
        <w:bottom w:val="none" w:sz="0" w:space="0" w:color="auto"/>
        <w:right w:val="none" w:sz="0" w:space="0" w:color="auto"/>
      </w:divBdr>
    </w:div>
    <w:div w:id="337346034">
      <w:bodyDiv w:val="1"/>
      <w:marLeft w:val="0"/>
      <w:marRight w:val="0"/>
      <w:marTop w:val="0"/>
      <w:marBottom w:val="0"/>
      <w:divBdr>
        <w:top w:val="none" w:sz="0" w:space="0" w:color="auto"/>
        <w:left w:val="none" w:sz="0" w:space="0" w:color="auto"/>
        <w:bottom w:val="none" w:sz="0" w:space="0" w:color="auto"/>
        <w:right w:val="none" w:sz="0" w:space="0" w:color="auto"/>
      </w:divBdr>
    </w:div>
    <w:div w:id="1567690877">
      <w:bodyDiv w:val="1"/>
      <w:marLeft w:val="0"/>
      <w:marRight w:val="0"/>
      <w:marTop w:val="0"/>
      <w:marBottom w:val="0"/>
      <w:divBdr>
        <w:top w:val="none" w:sz="0" w:space="0" w:color="auto"/>
        <w:left w:val="none" w:sz="0" w:space="0" w:color="auto"/>
        <w:bottom w:val="none" w:sz="0" w:space="0" w:color="auto"/>
        <w:right w:val="none" w:sz="0" w:space="0" w:color="auto"/>
      </w:divBdr>
    </w:div>
    <w:div w:id="1681658540">
      <w:bodyDiv w:val="1"/>
      <w:marLeft w:val="0"/>
      <w:marRight w:val="0"/>
      <w:marTop w:val="0"/>
      <w:marBottom w:val="0"/>
      <w:divBdr>
        <w:top w:val="none" w:sz="0" w:space="0" w:color="auto"/>
        <w:left w:val="none" w:sz="0" w:space="0" w:color="auto"/>
        <w:bottom w:val="none" w:sz="0" w:space="0" w:color="auto"/>
        <w:right w:val="none" w:sz="0" w:space="0" w:color="auto"/>
      </w:divBdr>
      <w:divsChild>
        <w:div w:id="1236091965">
          <w:marLeft w:val="13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40A6A3C91D64EA9F4F92C6DA6B971" ma:contentTypeVersion="4" ma:contentTypeDescription="Create a new document." ma:contentTypeScope="" ma:versionID="6d7710899bc07e6af72ead92d750b609">
  <xsd:schema xmlns:xsd="http://www.w3.org/2001/XMLSchema" xmlns:xs="http://www.w3.org/2001/XMLSchema" xmlns:p="http://schemas.microsoft.com/office/2006/metadata/properties" xmlns:ns2="1fdcf295-ac92-492a-b8f7-a2b55f1d2194" targetNamespace="http://schemas.microsoft.com/office/2006/metadata/properties" ma:root="true" ma:fieldsID="6f6da7719e11de1e720cc0a551b452bd" ns2:_="">
    <xsd:import namespace="1fdcf295-ac92-492a-b8f7-a2b55f1d2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cf295-ac92-492a-b8f7-a2b55f1d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1DC68-9E2A-4372-987A-1EE9DC664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cf295-ac92-492a-b8f7-a2b55f1d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41B1D-FE9A-4DE5-922D-DC6E48C1BC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70AB9A-1599-4854-9699-02820DB57884}">
  <ds:schemaRefs>
    <ds:schemaRef ds:uri="http://schemas.openxmlformats.org/officeDocument/2006/bibliography"/>
  </ds:schemaRefs>
</ds:datastoreItem>
</file>

<file path=customXml/itemProps4.xml><?xml version="1.0" encoding="utf-8"?>
<ds:datastoreItem xmlns:ds="http://schemas.openxmlformats.org/officeDocument/2006/customXml" ds:itemID="{8292B1A1-9203-416A-92C3-14A61C724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21-05-15 Appendix A (Staff Concept Paper 2)</vt:lpstr>
    </vt:vector>
  </TitlesOfParts>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21-05-15 Appendix A (Staff Concept Paper 2)</dc:title>
  <dc:creator>Jennifer Gorman</dc:creator>
  <cp:lastModifiedBy>Tyneshia Griffin</cp:lastModifiedBy>
  <cp:revision>3</cp:revision>
  <dcterms:created xsi:type="dcterms:W3CDTF">2025-03-25T21:54:00Z</dcterms:created>
  <dcterms:modified xsi:type="dcterms:W3CDTF">2025-03-25T21:55:00Z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vt:lpwstr>
  </property>
  <property fmtid="{D5CDD505-2E9C-101B-9397-08002B2CF9AE}" pid="4" name="LastSaved">
    <vt:filetime>2025-02-18T00:00:00Z</vt:filetime>
  </property>
  <property fmtid="{D5CDD505-2E9C-101B-9397-08002B2CF9AE}" pid="5" name="ContentTypeId">
    <vt:lpwstr>0x0101008FF40A6A3C91D64EA9F4F92C6DA6B971</vt:lpwstr>
  </property>
</Properties>
</file>